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eastAsia="仿宋_GB2312"/>
          <w:b/>
          <w:sz w:val="28"/>
        </w:rPr>
      </w:pPr>
      <w:r>
        <w:rPr>
          <w:rFonts w:hint="eastAsia" w:ascii="仿宋_GB2312" w:eastAsia="仿宋_GB2312"/>
          <w:b/>
          <w:sz w:val="28"/>
        </w:rPr>
        <w:t>附件1：</w:t>
      </w:r>
    </w:p>
    <w:p>
      <w:pPr>
        <w:spacing w:line="520" w:lineRule="exact"/>
        <w:jc w:val="center"/>
        <w:rPr>
          <w:rFonts w:hint="eastAsia" w:ascii="黑体" w:hAnsi="宋体" w:eastAsia="黑体"/>
          <w:sz w:val="32"/>
          <w:szCs w:val="32"/>
        </w:rPr>
      </w:pPr>
      <w:r>
        <w:rPr>
          <w:rFonts w:hint="eastAsia" w:ascii="黑体" w:hAnsi="宋体" w:eastAsia="黑体"/>
          <w:sz w:val="32"/>
          <w:szCs w:val="32"/>
        </w:rPr>
        <w:t>组织优秀中青年</w:t>
      </w:r>
      <w:r>
        <w:rPr>
          <w:rFonts w:hint="eastAsia" w:ascii="黑体" w:hAnsi="宋体" w:eastAsia="黑体"/>
          <w:sz w:val="32"/>
          <w:szCs w:val="32"/>
          <w:lang w:val="en-US" w:eastAsia="zh-CN"/>
        </w:rPr>
        <w:t>管理人员</w:t>
      </w:r>
      <w:r>
        <w:rPr>
          <w:rFonts w:hint="eastAsia" w:ascii="黑体" w:hAnsi="宋体" w:eastAsia="黑体"/>
          <w:sz w:val="32"/>
          <w:szCs w:val="32"/>
        </w:rPr>
        <w:t>赴美国中长期培训攻读</w:t>
      </w:r>
    </w:p>
    <w:p>
      <w:pPr>
        <w:spacing w:line="520" w:lineRule="exact"/>
        <w:jc w:val="center"/>
        <w:rPr>
          <w:rFonts w:hint="eastAsia" w:ascii="黑体" w:hAnsi="宋体" w:eastAsia="黑体"/>
          <w:sz w:val="32"/>
          <w:szCs w:val="32"/>
        </w:rPr>
      </w:pPr>
      <w:r>
        <w:rPr>
          <w:rFonts w:hint="eastAsia" w:ascii="黑体" w:hAnsi="宋体" w:eastAsia="黑体"/>
          <w:sz w:val="32"/>
          <w:szCs w:val="32"/>
        </w:rPr>
        <w:t>工商管理硕士学位项目工作方案</w:t>
      </w:r>
    </w:p>
    <w:p>
      <w:pPr>
        <w:spacing w:before="312" w:beforeLines="100"/>
        <w:ind w:firstLine="562" w:firstLineChars="200"/>
        <w:rPr>
          <w:rFonts w:hint="eastAsia" w:ascii="仿宋_GB2312" w:eastAsia="仿宋_GB2312"/>
          <w:b/>
          <w:sz w:val="28"/>
        </w:rPr>
      </w:pPr>
      <w:r>
        <w:rPr>
          <w:rFonts w:hint="eastAsia" w:ascii="仿宋_GB2312" w:eastAsia="仿宋_GB2312"/>
          <w:b/>
          <w:sz w:val="28"/>
        </w:rPr>
        <w:t>一、培训对象</w:t>
      </w:r>
    </w:p>
    <w:p>
      <w:pPr>
        <w:ind w:firstLine="560" w:firstLineChars="200"/>
        <w:rPr>
          <w:rFonts w:hint="eastAsia" w:ascii="仿宋_GB2312" w:eastAsia="仿宋_GB2312"/>
          <w:sz w:val="28"/>
        </w:rPr>
      </w:pPr>
      <w:r>
        <w:rPr>
          <w:rFonts w:hint="eastAsia" w:ascii="仿宋_GB2312" w:eastAsia="仿宋_GB2312"/>
          <w:sz w:val="28"/>
        </w:rPr>
        <w:t>中总协地方协会、行业分会，副会长单位、常务理事、理事单位及会员单位财务骨干，有关大中型企业、行政事业单位中青年管理人员。</w:t>
      </w:r>
    </w:p>
    <w:p>
      <w:pPr>
        <w:ind w:firstLine="570"/>
        <w:rPr>
          <w:rFonts w:hint="eastAsia" w:ascii="仿宋_GB2312" w:eastAsia="仿宋_GB2312"/>
          <w:b/>
          <w:sz w:val="28"/>
        </w:rPr>
      </w:pPr>
      <w:r>
        <w:rPr>
          <w:rFonts w:hint="eastAsia" w:ascii="仿宋_GB2312" w:eastAsia="仿宋_GB2312"/>
          <w:b/>
          <w:sz w:val="28"/>
        </w:rPr>
        <w:t>二、报名与就读</w:t>
      </w:r>
    </w:p>
    <w:p>
      <w:pPr>
        <w:ind w:firstLine="570"/>
        <w:rPr>
          <w:rFonts w:hint="eastAsia" w:ascii="仿宋_GB2312" w:eastAsia="仿宋_GB2312"/>
          <w:b/>
          <w:sz w:val="28"/>
        </w:rPr>
      </w:pPr>
      <w:r>
        <w:rPr>
          <w:rFonts w:hint="eastAsia" w:ascii="仿宋_GB2312" w:eastAsia="仿宋_GB2312"/>
          <w:b/>
          <w:sz w:val="28"/>
        </w:rPr>
        <w:t>（一）报名条件</w:t>
      </w:r>
    </w:p>
    <w:p>
      <w:pPr>
        <w:ind w:firstLine="700" w:firstLineChars="250"/>
        <w:rPr>
          <w:rFonts w:hint="eastAsia" w:ascii="仿宋_GB2312" w:eastAsia="仿宋_GB2312"/>
          <w:sz w:val="28"/>
        </w:rPr>
      </w:pPr>
      <w:r>
        <w:rPr>
          <w:rFonts w:hint="eastAsia" w:ascii="仿宋_GB2312" w:eastAsia="仿宋_GB2312"/>
          <w:sz w:val="28"/>
        </w:rPr>
        <w:t>1、热爱祖国，遵纪守法，爱岗敬业，身体健康；</w:t>
      </w:r>
    </w:p>
    <w:p>
      <w:pPr>
        <w:ind w:firstLine="708" w:firstLineChars="253"/>
        <w:rPr>
          <w:rFonts w:hint="eastAsia" w:ascii="仿宋_GB2312" w:eastAsia="仿宋_GB2312"/>
          <w:sz w:val="28"/>
        </w:rPr>
      </w:pPr>
      <w:r>
        <w:rPr>
          <w:rFonts w:hint="eastAsia" w:ascii="仿宋_GB2312" w:eastAsia="仿宋_GB2312"/>
          <w:sz w:val="28"/>
        </w:rPr>
        <w:t>2、具有国家承认的大学本科学历（专升本、专升硕可以申请）或学位证书；成绩良好（按美国大学方式计算四年大学平均分相当GPA2.75以上）；</w:t>
      </w:r>
    </w:p>
    <w:p>
      <w:pPr>
        <w:ind w:firstLine="708" w:firstLineChars="253"/>
        <w:rPr>
          <w:rFonts w:hint="eastAsia" w:ascii="仿宋_GB2312" w:eastAsia="仿宋_GB2312"/>
          <w:sz w:val="28"/>
        </w:rPr>
      </w:pPr>
      <w:r>
        <w:rPr>
          <w:rFonts w:hint="eastAsia" w:ascii="仿宋_GB2312" w:eastAsia="仿宋_GB2312"/>
          <w:sz w:val="28"/>
        </w:rPr>
        <w:t>3、具有在美国学习生活的英语语言能力（英语水平</w:t>
      </w:r>
      <w:r>
        <w:rPr>
          <w:rFonts w:hint="eastAsia" w:ascii="仿宋_GB2312" w:eastAsia="仿宋_GB2312"/>
          <w:sz w:val="28"/>
          <w:lang w:val="en-US" w:eastAsia="zh-CN"/>
        </w:rPr>
        <w:t>在强化</w:t>
      </w:r>
      <w:r>
        <w:rPr>
          <w:rFonts w:hint="eastAsia" w:ascii="仿宋_GB2312" w:eastAsia="仿宋_GB2312"/>
          <w:sz w:val="28"/>
        </w:rPr>
        <w:t>培训后约相当托福机考成绩79分或雅思成绩6.0）；</w:t>
      </w:r>
    </w:p>
    <w:p>
      <w:pPr>
        <w:ind w:firstLine="708" w:firstLineChars="253"/>
        <w:rPr>
          <w:rFonts w:hint="eastAsia" w:ascii="仿宋_GB2312" w:eastAsia="仿宋_GB2312"/>
          <w:sz w:val="28"/>
        </w:rPr>
      </w:pPr>
      <w:r>
        <w:rPr>
          <w:rFonts w:hint="eastAsia" w:ascii="仿宋_GB2312" w:eastAsia="仿宋_GB2312"/>
          <w:sz w:val="28"/>
        </w:rPr>
        <w:t>4、具有两年以上管理经验，所在单位同意推荐。</w:t>
      </w:r>
    </w:p>
    <w:p>
      <w:pPr>
        <w:ind w:left="562"/>
        <w:rPr>
          <w:rFonts w:hint="eastAsia" w:ascii="仿宋_GB2312" w:eastAsia="仿宋_GB2312"/>
          <w:b/>
          <w:sz w:val="28"/>
        </w:rPr>
      </w:pPr>
      <w:r>
        <w:rPr>
          <w:rFonts w:hint="eastAsia" w:ascii="仿宋_GB2312" w:eastAsia="仿宋_GB2312"/>
          <w:b/>
          <w:sz w:val="28"/>
        </w:rPr>
        <w:t>（二）报名办法</w:t>
      </w:r>
    </w:p>
    <w:p>
      <w:pPr>
        <w:ind w:firstLine="700" w:firstLineChars="250"/>
        <w:rPr>
          <w:rFonts w:hint="eastAsia" w:ascii="仿宋_GB2312" w:eastAsia="仿宋_GB2312"/>
          <w:sz w:val="28"/>
        </w:rPr>
      </w:pPr>
      <w:r>
        <w:rPr>
          <w:rFonts w:hint="eastAsia" w:ascii="仿宋_GB2312" w:eastAsia="仿宋_GB2312"/>
          <w:sz w:val="28"/>
        </w:rPr>
        <w:t>1、</w:t>
      </w:r>
      <w:r>
        <w:rPr>
          <w:rFonts w:hint="eastAsia" w:ascii="仿宋_GB2312" w:eastAsia="仿宋_GB2312"/>
          <w:sz w:val="28"/>
          <w:szCs w:val="28"/>
        </w:rPr>
        <w:t>符合条件的报名人员填写</w:t>
      </w:r>
      <w:r>
        <w:rPr>
          <w:rFonts w:hint="eastAsia" w:ascii="仿宋_GB2312" w:hAnsi="宋体" w:eastAsia="仿宋_GB2312"/>
          <w:sz w:val="28"/>
          <w:szCs w:val="28"/>
        </w:rPr>
        <w:t>《赴美国中长期培训攻读工商管理硕士学位项目报名表》（附件3），经单位领导签字盖章后</w:t>
      </w:r>
      <w:r>
        <w:rPr>
          <w:rFonts w:hint="eastAsia" w:ascii="仿宋_GB2312" w:eastAsia="仿宋_GB2312"/>
          <w:sz w:val="28"/>
          <w:szCs w:val="28"/>
        </w:rPr>
        <w:t>传真或发扫描件至中总协培训部；</w:t>
      </w:r>
      <w:r>
        <w:rPr>
          <w:rFonts w:hint="eastAsia" w:ascii="仿宋_GB2312" w:eastAsia="仿宋_GB2312"/>
          <w:sz w:val="28"/>
        </w:rPr>
        <w:t xml:space="preserve"> </w:t>
      </w:r>
    </w:p>
    <w:p>
      <w:pPr>
        <w:ind w:firstLine="700" w:firstLineChars="250"/>
        <w:rPr>
          <w:rFonts w:hint="eastAsia" w:ascii="仿宋_GB2312" w:eastAsia="仿宋_GB2312"/>
          <w:sz w:val="28"/>
        </w:rPr>
      </w:pPr>
      <w:r>
        <w:rPr>
          <w:rFonts w:hint="eastAsia" w:ascii="仿宋_GB2312" w:eastAsia="仿宋_GB2312"/>
          <w:sz w:val="28"/>
        </w:rPr>
        <w:t>2、中总协培训部收到报名表</w:t>
      </w:r>
      <w:r>
        <w:rPr>
          <w:rFonts w:hint="eastAsia" w:ascii="仿宋_GB2312" w:eastAsia="仿宋_GB2312"/>
          <w:sz w:val="28"/>
          <w:szCs w:val="28"/>
        </w:rPr>
        <w:t>后与报</w:t>
      </w:r>
      <w:r>
        <w:rPr>
          <w:rFonts w:hint="eastAsia" w:ascii="仿宋_GB2312" w:eastAsia="仿宋_GB2312"/>
          <w:sz w:val="28"/>
        </w:rPr>
        <w:t>名人员所在单位进行确认并对报名表进行审核，报名人员收到中总协邮件或电话确认后再将原件特快专递寄至中总协培训部。</w:t>
      </w:r>
    </w:p>
    <w:p>
      <w:pPr>
        <w:ind w:firstLine="570"/>
        <w:rPr>
          <w:rFonts w:hint="eastAsia" w:ascii="仿宋_GB2312" w:eastAsia="仿宋_GB2312"/>
          <w:b/>
          <w:sz w:val="28"/>
        </w:rPr>
      </w:pPr>
    </w:p>
    <w:p>
      <w:pPr>
        <w:ind w:firstLine="570"/>
        <w:rPr>
          <w:rFonts w:hint="eastAsia" w:ascii="仿宋_GB2312" w:eastAsia="仿宋_GB2312"/>
          <w:b/>
          <w:sz w:val="28"/>
        </w:rPr>
      </w:pPr>
      <w:r>
        <w:rPr>
          <w:rFonts w:hint="eastAsia" w:ascii="仿宋_GB2312" w:eastAsia="仿宋_GB2312"/>
          <w:b/>
          <w:sz w:val="28"/>
        </w:rPr>
        <w:t>（三）报名程序及时间安排</w:t>
      </w:r>
    </w:p>
    <w:tbl>
      <w:tblPr>
        <w:tblStyle w:val="6"/>
        <w:tblW w:w="8960"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55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260" w:type="dxa"/>
            <w:noWrap w:val="0"/>
            <w:vAlign w:val="center"/>
          </w:tcPr>
          <w:p>
            <w:pPr>
              <w:pStyle w:val="3"/>
              <w:spacing w:before="0" w:beforeAutospacing="0" w:after="0" w:afterAutospacing="0"/>
              <w:jc w:val="center"/>
              <w:textAlignment w:val="baseline"/>
              <w:rPr>
                <w:rFonts w:hint="eastAsia" w:ascii="仿宋_GB2312" w:eastAsia="仿宋_GB2312"/>
                <w:b/>
                <w:sz w:val="21"/>
              </w:rPr>
            </w:pPr>
            <w:r>
              <w:rPr>
                <w:rFonts w:hint="eastAsia" w:ascii="仿宋_GB2312" w:eastAsia="仿宋_GB2312"/>
                <w:b/>
                <w:sz w:val="21"/>
              </w:rPr>
              <w:t>类 别</w:t>
            </w:r>
          </w:p>
        </w:tc>
        <w:tc>
          <w:tcPr>
            <w:tcW w:w="5540" w:type="dxa"/>
            <w:noWrap w:val="0"/>
            <w:vAlign w:val="center"/>
          </w:tcPr>
          <w:p>
            <w:pPr>
              <w:pStyle w:val="3"/>
              <w:spacing w:before="0" w:beforeAutospacing="0" w:after="0" w:afterAutospacing="0"/>
              <w:jc w:val="center"/>
              <w:textAlignment w:val="baseline"/>
              <w:rPr>
                <w:rFonts w:hint="eastAsia" w:ascii="仿宋_GB2312" w:eastAsia="仿宋_GB2312"/>
                <w:b/>
                <w:sz w:val="21"/>
              </w:rPr>
            </w:pPr>
            <w:r>
              <w:rPr>
                <w:rFonts w:hint="eastAsia" w:ascii="仿宋_GB2312" w:eastAsia="仿宋_GB2312"/>
                <w:b/>
                <w:sz w:val="21"/>
              </w:rPr>
              <w:t>办 理 相 关 事 项</w:t>
            </w:r>
          </w:p>
        </w:tc>
        <w:tc>
          <w:tcPr>
            <w:tcW w:w="2160" w:type="dxa"/>
            <w:noWrap w:val="0"/>
            <w:vAlign w:val="center"/>
          </w:tcPr>
          <w:p>
            <w:pPr>
              <w:pStyle w:val="3"/>
              <w:spacing w:before="0" w:beforeAutospacing="0" w:after="0" w:afterAutospacing="0"/>
              <w:jc w:val="center"/>
              <w:textAlignment w:val="baseline"/>
              <w:rPr>
                <w:rFonts w:hint="eastAsia" w:ascii="仿宋_GB2312" w:eastAsia="仿宋_GB2312"/>
                <w:b/>
                <w:sz w:val="21"/>
                <w:u w:val="single"/>
              </w:rPr>
            </w:pPr>
            <w:r>
              <w:rPr>
                <w:rFonts w:hint="eastAsia" w:ascii="仿宋_GB2312" w:eastAsia="仿宋_GB2312"/>
                <w:b/>
                <w:sz w:val="21"/>
              </w:rPr>
              <w:t>时 间 安 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1260" w:type="dxa"/>
            <w:noWrap w:val="0"/>
            <w:vAlign w:val="center"/>
          </w:tcPr>
          <w:p>
            <w:pPr>
              <w:pStyle w:val="3"/>
              <w:spacing w:before="0" w:beforeAutospacing="0" w:after="0" w:afterAutospacing="0"/>
              <w:jc w:val="center"/>
              <w:textAlignment w:val="baseline"/>
              <w:rPr>
                <w:rFonts w:hint="eastAsia" w:ascii="仿宋_GB2312" w:eastAsia="仿宋_GB2312"/>
                <w:b/>
                <w:sz w:val="21"/>
              </w:rPr>
            </w:pPr>
            <w:r>
              <w:rPr>
                <w:rFonts w:hint="eastAsia" w:ascii="仿宋_GB2312" w:eastAsia="仿宋_GB2312"/>
                <w:b/>
                <w:sz w:val="21"/>
              </w:rPr>
              <w:t>报名、初审</w:t>
            </w:r>
          </w:p>
        </w:tc>
        <w:tc>
          <w:tcPr>
            <w:tcW w:w="5540" w:type="dxa"/>
            <w:noWrap w:val="0"/>
            <w:vAlign w:val="center"/>
          </w:tcPr>
          <w:p>
            <w:pPr>
              <w:pStyle w:val="3"/>
              <w:spacing w:before="0" w:beforeAutospacing="0" w:after="0" w:afterAutospacing="0"/>
              <w:textAlignment w:val="baseline"/>
              <w:rPr>
                <w:rFonts w:hint="eastAsia" w:ascii="仿宋_GB2312" w:eastAsia="仿宋_GB2312"/>
                <w:sz w:val="21"/>
              </w:rPr>
            </w:pPr>
            <w:r>
              <w:rPr>
                <w:rFonts w:hint="eastAsia" w:ascii="仿宋_GB2312" w:eastAsia="仿宋_GB2312"/>
                <w:sz w:val="21"/>
              </w:rPr>
              <w:t>·报名人员向中总协提交</w:t>
            </w:r>
            <w:r>
              <w:rPr>
                <w:rFonts w:hint="eastAsia" w:ascii="仿宋_GB2312" w:eastAsia="仿宋_GB2312"/>
                <w:sz w:val="21"/>
                <w:szCs w:val="21"/>
              </w:rPr>
              <w:t>《</w:t>
            </w:r>
            <w:r>
              <w:rPr>
                <w:rFonts w:hint="eastAsia" w:ascii="仿宋_GB2312" w:hAnsi="宋体" w:eastAsia="仿宋_GB2312"/>
                <w:sz w:val="21"/>
                <w:szCs w:val="21"/>
              </w:rPr>
              <w:t>赴美国中长期培训攻读工商管理硕士学位项目报名表》</w:t>
            </w:r>
            <w:r>
              <w:rPr>
                <w:rFonts w:hint="eastAsia" w:ascii="仿宋_GB2312" w:eastAsia="仿宋_GB2312"/>
                <w:sz w:val="21"/>
              </w:rPr>
              <w:t>（附件3）；</w:t>
            </w:r>
          </w:p>
          <w:p>
            <w:pPr>
              <w:pStyle w:val="3"/>
              <w:spacing w:before="0" w:beforeAutospacing="0" w:after="0" w:afterAutospacing="0"/>
              <w:textAlignment w:val="baseline"/>
              <w:rPr>
                <w:rFonts w:hint="eastAsia" w:ascii="仿宋_GB2312" w:eastAsia="仿宋_GB2312"/>
                <w:sz w:val="21"/>
              </w:rPr>
            </w:pPr>
            <w:r>
              <w:rPr>
                <w:rFonts w:hint="eastAsia" w:ascii="仿宋_GB2312" w:eastAsia="仿宋_GB2312"/>
                <w:sz w:val="21"/>
              </w:rPr>
              <w:t>·报名人员</w:t>
            </w:r>
            <w:r>
              <w:rPr>
                <w:rFonts w:hint="eastAsia" w:ascii="仿宋_GB2312" w:hAnsi="宋体" w:eastAsia="仿宋_GB2312"/>
                <w:sz w:val="21"/>
              </w:rPr>
              <w:t>向中总协提交美国密苏里州大学研究生入学申请</w:t>
            </w:r>
            <w:r>
              <w:rPr>
                <w:rFonts w:hint="eastAsia" w:ascii="仿宋_GB2312" w:hAnsi="宋体" w:eastAsia="仿宋_GB2312"/>
                <w:sz w:val="21"/>
                <w:lang w:val="en-US" w:eastAsia="zh-CN"/>
              </w:rPr>
              <w:t>初审</w:t>
            </w:r>
            <w:r>
              <w:rPr>
                <w:rFonts w:hint="eastAsia" w:ascii="仿宋_GB2312" w:hAnsi="宋体" w:eastAsia="仿宋_GB2312"/>
                <w:sz w:val="21"/>
              </w:rPr>
              <w:t>材料：</w:t>
            </w:r>
            <w:r>
              <w:rPr>
                <w:rFonts w:hint="eastAsia" w:ascii="仿宋_GB2312" w:eastAsia="仿宋_GB2312"/>
                <w:sz w:val="21"/>
              </w:rPr>
              <w:t>大学中英文成绩单、学历</w:t>
            </w:r>
            <w:r>
              <w:rPr>
                <w:rFonts w:hint="eastAsia" w:ascii="仿宋_GB2312" w:eastAsia="仿宋_GB2312"/>
                <w:sz w:val="21"/>
                <w:lang w:val="en-US" w:eastAsia="zh-CN"/>
              </w:rPr>
              <w:t>或</w:t>
            </w:r>
            <w:r>
              <w:rPr>
                <w:rFonts w:hint="eastAsia" w:ascii="仿宋_GB2312" w:eastAsia="仿宋_GB2312"/>
                <w:sz w:val="21"/>
              </w:rPr>
              <w:t>学位证书复印件；</w:t>
            </w:r>
          </w:p>
          <w:p>
            <w:pPr>
              <w:pStyle w:val="3"/>
              <w:spacing w:before="0" w:beforeAutospacing="0" w:after="0" w:afterAutospacing="0"/>
              <w:textAlignment w:val="baseline"/>
              <w:rPr>
                <w:rFonts w:hint="eastAsia" w:ascii="仿宋_GB2312" w:eastAsia="仿宋_GB2312"/>
                <w:sz w:val="21"/>
              </w:rPr>
            </w:pPr>
            <w:r>
              <w:rPr>
                <w:rFonts w:hint="eastAsia" w:ascii="仿宋_GB2312" w:eastAsia="仿宋_GB2312"/>
                <w:sz w:val="21"/>
              </w:rPr>
              <w:t>·中总协对所有报名人员入学申请</w:t>
            </w:r>
            <w:r>
              <w:rPr>
                <w:rFonts w:hint="eastAsia" w:ascii="仿宋_GB2312" w:eastAsia="仿宋_GB2312"/>
                <w:sz w:val="21"/>
                <w:lang w:val="en-US" w:eastAsia="zh-CN"/>
              </w:rPr>
              <w:t>材</w:t>
            </w:r>
            <w:r>
              <w:rPr>
                <w:rFonts w:hint="eastAsia" w:ascii="仿宋_GB2312" w:eastAsia="仿宋_GB2312"/>
                <w:sz w:val="21"/>
              </w:rPr>
              <w:t>料进行初审；</w:t>
            </w:r>
          </w:p>
          <w:p>
            <w:pPr>
              <w:pStyle w:val="3"/>
              <w:spacing w:before="0" w:beforeAutospacing="0" w:after="0" w:afterAutospacing="0"/>
              <w:textAlignment w:val="baseline"/>
              <w:rPr>
                <w:rFonts w:hint="eastAsia" w:ascii="仿宋_GB2312" w:eastAsia="仿宋_GB2312"/>
                <w:sz w:val="21"/>
              </w:rPr>
            </w:pPr>
            <w:r>
              <w:rPr>
                <w:rFonts w:hint="eastAsia" w:ascii="仿宋_GB2312" w:eastAsia="仿宋_GB2312"/>
                <w:sz w:val="21"/>
              </w:rPr>
              <w:t>·报名人员向中总协缴纳报名费和国内费用。</w:t>
            </w:r>
          </w:p>
        </w:tc>
        <w:tc>
          <w:tcPr>
            <w:tcW w:w="2160" w:type="dxa"/>
            <w:noWrap w:val="0"/>
            <w:vAlign w:val="center"/>
          </w:tcPr>
          <w:p>
            <w:pPr>
              <w:pStyle w:val="3"/>
              <w:spacing w:before="0" w:beforeAutospacing="0" w:after="0" w:afterAutospacing="0"/>
              <w:textAlignment w:val="baseline"/>
              <w:rPr>
                <w:rFonts w:hint="eastAsia" w:ascii="仿宋_GB2312" w:eastAsia="仿宋_GB2312"/>
                <w:sz w:val="21"/>
              </w:rPr>
            </w:pPr>
            <w:r>
              <w:rPr>
                <w:rFonts w:hint="eastAsia" w:ascii="仿宋_GB2312" w:eastAsia="仿宋_GB2312"/>
                <w:sz w:val="21"/>
              </w:rPr>
              <w:t>秋季班：4月30日前</w:t>
            </w:r>
          </w:p>
          <w:p>
            <w:pPr>
              <w:pStyle w:val="3"/>
              <w:spacing w:before="0" w:beforeAutospacing="0" w:after="0" w:afterAutospacing="0"/>
              <w:textAlignment w:val="baseline"/>
              <w:rPr>
                <w:rFonts w:hint="eastAsia"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1260" w:type="dxa"/>
            <w:noWrap w:val="0"/>
            <w:vAlign w:val="center"/>
          </w:tcPr>
          <w:p>
            <w:pPr>
              <w:pStyle w:val="3"/>
              <w:spacing w:before="0" w:beforeAutospacing="0" w:after="0" w:afterAutospacing="0"/>
              <w:jc w:val="center"/>
              <w:textAlignment w:val="baseline"/>
              <w:rPr>
                <w:rFonts w:hint="eastAsia" w:ascii="仿宋_GB2312" w:hAnsi="宋体" w:eastAsia="仿宋_GB2312"/>
                <w:b/>
                <w:sz w:val="21"/>
              </w:rPr>
            </w:pPr>
            <w:r>
              <w:rPr>
                <w:rFonts w:hint="eastAsia" w:ascii="仿宋_GB2312" w:hAnsi="宋体" w:eastAsia="仿宋_GB2312"/>
                <w:b/>
                <w:sz w:val="21"/>
              </w:rPr>
              <w:t>英语培训</w:t>
            </w:r>
          </w:p>
        </w:tc>
        <w:tc>
          <w:tcPr>
            <w:tcW w:w="5540" w:type="dxa"/>
            <w:noWrap w:val="0"/>
            <w:vAlign w:val="center"/>
          </w:tcPr>
          <w:p>
            <w:pPr>
              <w:pStyle w:val="3"/>
              <w:spacing w:before="0" w:beforeAutospacing="0" w:after="0" w:afterAutospacing="0"/>
              <w:textAlignment w:val="baseline"/>
              <w:rPr>
                <w:rFonts w:hint="eastAsia" w:ascii="仿宋_GB2312" w:hAnsi="宋体" w:eastAsia="仿宋_GB2312"/>
                <w:sz w:val="21"/>
              </w:rPr>
            </w:pPr>
            <w:r>
              <w:rPr>
                <w:rFonts w:hint="eastAsia" w:ascii="仿宋_GB2312" w:eastAsia="仿宋_GB2312"/>
                <w:sz w:val="21"/>
              </w:rPr>
              <w:t>·报名人员参加出国前英语集中培训</w:t>
            </w:r>
          </w:p>
        </w:tc>
        <w:tc>
          <w:tcPr>
            <w:tcW w:w="2160" w:type="dxa"/>
            <w:noWrap w:val="0"/>
            <w:vAlign w:val="center"/>
          </w:tcPr>
          <w:p>
            <w:pPr>
              <w:pStyle w:val="3"/>
              <w:spacing w:before="0" w:beforeAutospacing="0" w:after="0" w:afterAutospacing="0"/>
              <w:textAlignment w:val="baseline"/>
              <w:rPr>
                <w:rFonts w:hint="eastAsia" w:ascii="仿宋_GB2312" w:eastAsia="仿宋_GB2312"/>
                <w:sz w:val="21"/>
                <w:lang w:val="en-US" w:eastAsia="zh-CN"/>
              </w:rPr>
            </w:pPr>
            <w:r>
              <w:rPr>
                <w:rFonts w:hint="eastAsia" w:ascii="仿宋_GB2312" w:eastAsia="仿宋_GB2312"/>
                <w:sz w:val="21"/>
                <w:lang w:val="en-US" w:eastAsia="zh-CN"/>
              </w:rPr>
              <w:t>中总协另行通知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2" w:hRule="atLeast"/>
        </w:trPr>
        <w:tc>
          <w:tcPr>
            <w:tcW w:w="1260" w:type="dxa"/>
            <w:noWrap w:val="0"/>
            <w:vAlign w:val="center"/>
          </w:tcPr>
          <w:p>
            <w:pPr>
              <w:pStyle w:val="3"/>
              <w:spacing w:before="0" w:beforeAutospacing="0" w:after="0" w:afterAutospacing="0"/>
              <w:jc w:val="center"/>
              <w:textAlignment w:val="baseline"/>
              <w:rPr>
                <w:rFonts w:hint="eastAsia" w:ascii="仿宋_GB2312" w:eastAsia="仿宋_GB2312"/>
                <w:b/>
                <w:sz w:val="21"/>
              </w:rPr>
            </w:pPr>
            <w:r>
              <w:rPr>
                <w:rFonts w:hint="eastAsia" w:ascii="仿宋_GB2312" w:hAnsi="宋体" w:eastAsia="仿宋_GB2312"/>
                <w:b/>
                <w:sz w:val="21"/>
              </w:rPr>
              <w:t>入学申请</w:t>
            </w:r>
          </w:p>
        </w:tc>
        <w:tc>
          <w:tcPr>
            <w:tcW w:w="5540" w:type="dxa"/>
            <w:noWrap w:val="0"/>
            <w:vAlign w:val="center"/>
          </w:tcPr>
          <w:p>
            <w:pPr>
              <w:pStyle w:val="3"/>
              <w:spacing w:before="0" w:beforeAutospacing="0" w:after="0" w:afterAutospacing="0"/>
              <w:textAlignment w:val="baseline"/>
              <w:rPr>
                <w:rFonts w:hint="eastAsia" w:ascii="仿宋_GB2312" w:eastAsia="仿宋_GB2312"/>
                <w:sz w:val="21"/>
                <w:lang w:val="en-US" w:eastAsia="zh-CN"/>
              </w:rPr>
            </w:pPr>
            <w:r>
              <w:rPr>
                <w:rFonts w:hint="eastAsia" w:ascii="仿宋_GB2312" w:eastAsia="仿宋_GB2312"/>
                <w:sz w:val="21"/>
              </w:rPr>
              <w:t>·</w:t>
            </w:r>
            <w:r>
              <w:rPr>
                <w:rFonts w:hint="eastAsia" w:ascii="仿宋_GB2312" w:eastAsia="仿宋_GB2312"/>
                <w:sz w:val="21"/>
                <w:lang w:val="en-US" w:eastAsia="zh-CN"/>
              </w:rPr>
              <w:t>报名人员向中总协提交申请材料：美国密苏里州立大学研究生入学申请表；大学中英文成绩单、学历或学位证书复印件加盖原毕业院校公章；英文自述和英文简历；</w:t>
            </w:r>
          </w:p>
          <w:p>
            <w:pPr>
              <w:pStyle w:val="3"/>
              <w:spacing w:before="0" w:beforeAutospacing="0" w:after="0" w:afterAutospacing="0"/>
              <w:textAlignment w:val="baseline"/>
              <w:rPr>
                <w:rFonts w:hint="eastAsia" w:ascii="仿宋_GB2312" w:eastAsia="仿宋_GB2312"/>
                <w:sz w:val="21"/>
                <w:lang w:eastAsia="zh-CN"/>
              </w:rPr>
            </w:pPr>
            <w:r>
              <w:rPr>
                <w:rFonts w:hint="eastAsia" w:ascii="仿宋_GB2312" w:eastAsia="仿宋_GB2312"/>
                <w:sz w:val="21"/>
              </w:rPr>
              <w:t>·</w:t>
            </w:r>
            <w:r>
              <w:rPr>
                <w:rFonts w:hint="eastAsia" w:ascii="仿宋_GB2312" w:hAnsi="宋体" w:eastAsia="仿宋_GB2312"/>
                <w:sz w:val="21"/>
              </w:rPr>
              <w:t>中总协向美国密苏里州立大学提交申请材料和中总协出具的支持函</w:t>
            </w:r>
            <w:r>
              <w:rPr>
                <w:rFonts w:hint="eastAsia" w:ascii="仿宋_GB2312" w:hAnsi="宋体" w:eastAsia="仿宋_GB2312"/>
                <w:sz w:val="21"/>
                <w:lang w:eastAsia="zh-CN"/>
              </w:rPr>
              <w:t>。</w:t>
            </w:r>
          </w:p>
        </w:tc>
        <w:tc>
          <w:tcPr>
            <w:tcW w:w="2160" w:type="dxa"/>
            <w:noWrap w:val="0"/>
            <w:vAlign w:val="center"/>
          </w:tcPr>
          <w:p>
            <w:pPr>
              <w:pStyle w:val="3"/>
              <w:spacing w:before="0" w:beforeAutospacing="0" w:after="0" w:afterAutospacing="0"/>
              <w:textAlignment w:val="baseline"/>
              <w:rPr>
                <w:rFonts w:hint="eastAsia" w:ascii="仿宋_GB2312" w:eastAsia="仿宋_GB2312"/>
                <w:sz w:val="21"/>
              </w:rPr>
            </w:pPr>
            <w:r>
              <w:rPr>
                <w:rFonts w:hint="eastAsia" w:ascii="仿宋_GB2312" w:eastAsia="仿宋_GB2312"/>
                <w:sz w:val="21"/>
                <w:lang w:val="en-US" w:eastAsia="zh-CN"/>
              </w:rPr>
              <w:t>秋季班：</w:t>
            </w:r>
            <w:r>
              <w:rPr>
                <w:rFonts w:hint="eastAsia" w:ascii="仿宋_GB2312" w:eastAsia="仿宋_GB2312"/>
                <w:sz w:val="21"/>
              </w:rPr>
              <w:t>5月5日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260" w:type="dxa"/>
            <w:noWrap w:val="0"/>
            <w:vAlign w:val="center"/>
          </w:tcPr>
          <w:p>
            <w:pPr>
              <w:pStyle w:val="3"/>
              <w:spacing w:before="0" w:beforeAutospacing="0" w:after="0" w:afterAutospacing="0"/>
              <w:jc w:val="center"/>
              <w:textAlignment w:val="baseline"/>
              <w:rPr>
                <w:rFonts w:hint="eastAsia" w:ascii="仿宋_GB2312" w:eastAsia="仿宋_GB2312"/>
                <w:b/>
                <w:sz w:val="21"/>
              </w:rPr>
            </w:pPr>
            <w:r>
              <w:rPr>
                <w:rFonts w:hint="eastAsia" w:ascii="仿宋_GB2312" w:hAnsi="宋体" w:eastAsia="仿宋_GB2312"/>
                <w:b/>
                <w:sz w:val="21"/>
              </w:rPr>
              <w:t>录  取</w:t>
            </w:r>
          </w:p>
        </w:tc>
        <w:tc>
          <w:tcPr>
            <w:tcW w:w="5540" w:type="dxa"/>
            <w:noWrap w:val="0"/>
            <w:vAlign w:val="center"/>
          </w:tcPr>
          <w:p>
            <w:pPr>
              <w:pStyle w:val="3"/>
              <w:spacing w:before="0" w:beforeAutospacing="0" w:after="0" w:afterAutospacing="0"/>
              <w:textAlignment w:val="baseline"/>
              <w:rPr>
                <w:rFonts w:hint="eastAsia" w:ascii="仿宋_GB2312" w:eastAsia="仿宋_GB2312"/>
                <w:sz w:val="21"/>
              </w:rPr>
            </w:pPr>
            <w:r>
              <w:rPr>
                <w:rFonts w:hint="eastAsia" w:ascii="仿宋_GB2312" w:eastAsia="仿宋_GB2312"/>
                <w:sz w:val="21"/>
              </w:rPr>
              <w:t>·</w:t>
            </w:r>
            <w:r>
              <w:rPr>
                <w:rFonts w:hint="eastAsia" w:ascii="仿宋_GB2312" w:hAnsi="宋体" w:eastAsia="仿宋_GB2312"/>
                <w:sz w:val="21"/>
              </w:rPr>
              <w:t>美国密苏里州立大学向中总协发出研究生录取通知书和赴美签证文件DS2019表等。</w:t>
            </w:r>
          </w:p>
        </w:tc>
        <w:tc>
          <w:tcPr>
            <w:tcW w:w="2160" w:type="dxa"/>
            <w:noWrap w:val="0"/>
            <w:vAlign w:val="center"/>
          </w:tcPr>
          <w:p>
            <w:pPr>
              <w:pStyle w:val="3"/>
              <w:spacing w:before="0" w:beforeAutospacing="0" w:after="0" w:afterAutospacing="0"/>
              <w:textAlignment w:val="baseline"/>
              <w:rPr>
                <w:rFonts w:hint="eastAsia" w:ascii="仿宋_GB2312" w:eastAsia="仿宋_GB2312"/>
                <w:sz w:val="21"/>
              </w:rPr>
            </w:pPr>
            <w:r>
              <w:rPr>
                <w:rFonts w:hint="eastAsia" w:ascii="仿宋_GB2312" w:eastAsia="仿宋_GB2312"/>
                <w:sz w:val="21"/>
                <w:lang w:val="en-US" w:eastAsia="zh-CN"/>
              </w:rPr>
              <w:t>秋季班：</w:t>
            </w:r>
            <w:r>
              <w:rPr>
                <w:rFonts w:hint="eastAsia" w:ascii="仿宋_GB2312" w:eastAsia="仿宋_GB2312"/>
                <w:sz w:val="21"/>
              </w:rPr>
              <w:t>5月25日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atLeast"/>
        </w:trPr>
        <w:tc>
          <w:tcPr>
            <w:tcW w:w="1260" w:type="dxa"/>
            <w:noWrap w:val="0"/>
            <w:vAlign w:val="center"/>
          </w:tcPr>
          <w:p>
            <w:pPr>
              <w:pStyle w:val="3"/>
              <w:spacing w:before="0" w:beforeAutospacing="0" w:after="0" w:afterAutospacing="0"/>
              <w:jc w:val="center"/>
              <w:textAlignment w:val="baseline"/>
              <w:rPr>
                <w:rFonts w:hint="eastAsia" w:ascii="仿宋_GB2312" w:eastAsia="仿宋_GB2312"/>
                <w:b/>
                <w:sz w:val="21"/>
              </w:rPr>
            </w:pPr>
            <w:r>
              <w:rPr>
                <w:rFonts w:hint="eastAsia" w:ascii="仿宋_GB2312" w:hAnsi="宋体" w:eastAsia="仿宋_GB2312"/>
                <w:b/>
                <w:sz w:val="21"/>
              </w:rPr>
              <w:t>办理赴美手  续</w:t>
            </w:r>
          </w:p>
        </w:tc>
        <w:tc>
          <w:tcPr>
            <w:tcW w:w="5540" w:type="dxa"/>
            <w:noWrap w:val="0"/>
            <w:vAlign w:val="center"/>
          </w:tcPr>
          <w:p>
            <w:pPr>
              <w:pStyle w:val="3"/>
              <w:spacing w:before="0" w:beforeAutospacing="0" w:after="0" w:afterAutospacing="0"/>
              <w:textAlignment w:val="baseline"/>
              <w:rPr>
                <w:rFonts w:hint="eastAsia" w:ascii="仿宋_GB2312" w:hAnsi="宋体" w:eastAsia="仿宋_GB2312"/>
                <w:sz w:val="21"/>
              </w:rPr>
            </w:pPr>
            <w:r>
              <w:rPr>
                <w:rFonts w:hint="eastAsia" w:ascii="仿宋_GB2312" w:eastAsia="仿宋_GB2312"/>
                <w:sz w:val="21"/>
              </w:rPr>
              <w:t>·</w:t>
            </w:r>
            <w:r>
              <w:rPr>
                <w:rFonts w:hint="eastAsia" w:ascii="仿宋_GB2312" w:hAnsi="宋体" w:eastAsia="仿宋_GB2312"/>
                <w:sz w:val="21"/>
              </w:rPr>
              <w:t>中总协协助被录取学员办理出国手续</w:t>
            </w:r>
            <w:r>
              <w:rPr>
                <w:rFonts w:hint="eastAsia" w:ascii="仿宋_GB2312" w:hAnsi="宋体" w:eastAsia="仿宋_GB2312"/>
                <w:sz w:val="21"/>
                <w:lang w:eastAsia="zh-CN"/>
              </w:rPr>
              <w:t>：</w:t>
            </w:r>
            <w:r>
              <w:rPr>
                <w:rFonts w:hint="eastAsia" w:ascii="仿宋_GB2312" w:hAnsi="宋体" w:eastAsia="仿宋_GB2312"/>
                <w:sz w:val="21"/>
              </w:rPr>
              <w:t>包括签证预约、签证辅导、预订机票等；</w:t>
            </w:r>
          </w:p>
          <w:p>
            <w:pPr>
              <w:pStyle w:val="3"/>
              <w:spacing w:before="0" w:beforeAutospacing="0" w:after="0" w:afterAutospacing="0"/>
              <w:textAlignment w:val="baseline"/>
              <w:rPr>
                <w:rFonts w:hint="eastAsia" w:ascii="仿宋_GB2312" w:hAnsi="宋体" w:eastAsia="仿宋_GB2312"/>
                <w:sz w:val="21"/>
              </w:rPr>
            </w:pPr>
            <w:r>
              <w:rPr>
                <w:rFonts w:hint="eastAsia" w:ascii="仿宋_GB2312" w:eastAsia="仿宋_GB2312"/>
                <w:sz w:val="21"/>
              </w:rPr>
              <w:t>·</w:t>
            </w:r>
            <w:r>
              <w:rPr>
                <w:rFonts w:hint="eastAsia" w:ascii="仿宋_GB2312" w:hAnsi="宋体" w:eastAsia="仿宋_GB2312"/>
                <w:sz w:val="21"/>
              </w:rPr>
              <w:t>被录取学员按规定缴付学费。</w:t>
            </w:r>
          </w:p>
        </w:tc>
        <w:tc>
          <w:tcPr>
            <w:tcW w:w="2160" w:type="dxa"/>
            <w:noWrap w:val="0"/>
            <w:vAlign w:val="center"/>
          </w:tcPr>
          <w:p>
            <w:pPr>
              <w:pStyle w:val="3"/>
              <w:spacing w:before="0" w:beforeAutospacing="0" w:after="0" w:afterAutospacing="0"/>
              <w:textAlignment w:val="baseline"/>
              <w:rPr>
                <w:rFonts w:hint="eastAsia" w:ascii="仿宋_GB2312" w:eastAsia="仿宋_GB2312"/>
                <w:sz w:val="21"/>
              </w:rPr>
            </w:pPr>
            <w:r>
              <w:rPr>
                <w:rFonts w:hint="eastAsia" w:ascii="仿宋_GB2312" w:eastAsia="仿宋_GB2312"/>
                <w:sz w:val="21"/>
              </w:rPr>
              <w:t>秋季班：5月30日-8月1日</w:t>
            </w:r>
          </w:p>
          <w:p>
            <w:pPr>
              <w:pStyle w:val="3"/>
              <w:spacing w:before="0" w:beforeAutospacing="0" w:after="0" w:afterAutospacing="0"/>
              <w:textAlignment w:val="baseline"/>
              <w:rPr>
                <w:rFonts w:hint="eastAsia"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1260" w:type="dxa"/>
            <w:noWrap w:val="0"/>
            <w:vAlign w:val="center"/>
          </w:tcPr>
          <w:p>
            <w:pPr>
              <w:pStyle w:val="3"/>
              <w:spacing w:before="0" w:beforeAutospacing="0" w:after="0" w:afterAutospacing="0"/>
              <w:jc w:val="center"/>
              <w:textAlignment w:val="baseline"/>
              <w:rPr>
                <w:rFonts w:hint="eastAsia" w:ascii="仿宋_GB2312" w:eastAsia="仿宋_GB2312"/>
                <w:b/>
                <w:sz w:val="21"/>
              </w:rPr>
            </w:pPr>
            <w:r>
              <w:rPr>
                <w:rFonts w:hint="eastAsia" w:ascii="仿宋_GB2312" w:eastAsia="仿宋_GB2312"/>
                <w:b/>
                <w:sz w:val="21"/>
              </w:rPr>
              <w:t>赴美学习</w:t>
            </w:r>
          </w:p>
        </w:tc>
        <w:tc>
          <w:tcPr>
            <w:tcW w:w="5540" w:type="dxa"/>
            <w:noWrap w:val="0"/>
            <w:vAlign w:val="center"/>
          </w:tcPr>
          <w:p>
            <w:pPr>
              <w:pStyle w:val="3"/>
              <w:spacing w:before="0" w:beforeAutospacing="0" w:after="0" w:afterAutospacing="0"/>
              <w:textAlignment w:val="baseline"/>
              <w:rPr>
                <w:rFonts w:hint="eastAsia" w:ascii="仿宋_GB2312" w:eastAsia="仿宋_GB2312"/>
                <w:sz w:val="21"/>
              </w:rPr>
            </w:pPr>
            <w:r>
              <w:rPr>
                <w:rFonts w:hint="eastAsia" w:ascii="仿宋_GB2312" w:eastAsia="仿宋_GB2312"/>
                <w:sz w:val="21"/>
              </w:rPr>
              <w:t>·中总协组织出国前预培训会；</w:t>
            </w:r>
          </w:p>
          <w:p>
            <w:pPr>
              <w:pStyle w:val="3"/>
              <w:spacing w:before="0" w:beforeAutospacing="0" w:after="0" w:afterAutospacing="0"/>
              <w:textAlignment w:val="baseline"/>
              <w:rPr>
                <w:rFonts w:hint="eastAsia" w:ascii="仿宋_GB2312" w:eastAsia="仿宋_GB2312"/>
                <w:sz w:val="21"/>
              </w:rPr>
            </w:pPr>
            <w:r>
              <w:rPr>
                <w:rFonts w:hint="eastAsia" w:ascii="仿宋_GB2312" w:eastAsia="仿宋_GB2312"/>
                <w:sz w:val="21"/>
              </w:rPr>
              <w:t>·学员集体赴美。</w:t>
            </w:r>
          </w:p>
        </w:tc>
        <w:tc>
          <w:tcPr>
            <w:tcW w:w="2160" w:type="dxa"/>
            <w:noWrap w:val="0"/>
            <w:vAlign w:val="center"/>
          </w:tcPr>
          <w:p>
            <w:pPr>
              <w:pStyle w:val="3"/>
              <w:spacing w:before="0" w:beforeAutospacing="0" w:after="0" w:afterAutospacing="0"/>
              <w:textAlignment w:val="baseline"/>
              <w:rPr>
                <w:rFonts w:hint="eastAsia" w:ascii="仿宋_GB2312" w:eastAsia="仿宋_GB2312"/>
                <w:sz w:val="21"/>
              </w:rPr>
            </w:pPr>
            <w:r>
              <w:rPr>
                <w:rFonts w:hint="eastAsia" w:ascii="仿宋_GB2312" w:eastAsia="仿宋_GB2312"/>
                <w:sz w:val="21"/>
              </w:rPr>
              <w:t>秋季班：8月10日左右</w:t>
            </w:r>
          </w:p>
          <w:p>
            <w:pPr>
              <w:pStyle w:val="3"/>
              <w:spacing w:before="0" w:beforeAutospacing="0" w:after="0" w:afterAutospacing="0"/>
              <w:textAlignment w:val="baseline"/>
              <w:rPr>
                <w:rFonts w:hint="eastAsia" w:ascii="仿宋_GB2312" w:eastAsia="仿宋_GB2312"/>
                <w:sz w:val="21"/>
              </w:rPr>
            </w:pPr>
          </w:p>
        </w:tc>
      </w:tr>
    </w:tbl>
    <w:p>
      <w:pPr>
        <w:pStyle w:val="7"/>
        <w:spacing w:before="0" w:beforeAutospacing="0" w:after="0" w:afterAutospacing="0" w:line="480" w:lineRule="exact"/>
        <w:ind w:firstLine="551" w:firstLineChars="196"/>
        <w:textAlignment w:val="baseline"/>
        <w:rPr>
          <w:rFonts w:hint="eastAsia" w:ascii="仿宋_GB2312" w:eastAsia="仿宋_GB2312"/>
          <w:b/>
          <w:kern w:val="2"/>
          <w:sz w:val="28"/>
        </w:rPr>
      </w:pPr>
      <w:r>
        <w:rPr>
          <w:rFonts w:hint="eastAsia" w:ascii="仿宋_GB2312" w:eastAsia="仿宋_GB2312"/>
          <w:b/>
          <w:kern w:val="2"/>
          <w:sz w:val="28"/>
        </w:rPr>
        <w:t>（</w:t>
      </w:r>
      <w:r>
        <w:rPr>
          <w:rFonts w:hint="eastAsia" w:ascii="仿宋_GB2312" w:eastAsia="仿宋_GB2312"/>
          <w:b/>
          <w:sz w:val="28"/>
        </w:rPr>
        <w:t>四</w:t>
      </w:r>
      <w:r>
        <w:rPr>
          <w:rFonts w:hint="eastAsia" w:ascii="仿宋_GB2312" w:eastAsia="仿宋_GB2312"/>
          <w:b/>
          <w:kern w:val="2"/>
          <w:sz w:val="28"/>
        </w:rPr>
        <w:t>）课程设置</w:t>
      </w:r>
    </w:p>
    <w:p>
      <w:pPr>
        <w:pStyle w:val="7"/>
        <w:spacing w:before="0" w:beforeAutospacing="0" w:after="0" w:afterAutospacing="0" w:line="480" w:lineRule="exact"/>
        <w:ind w:firstLine="480"/>
        <w:textAlignment w:val="baseline"/>
        <w:rPr>
          <w:rFonts w:hint="eastAsia" w:ascii="仿宋_GB2312" w:eastAsia="仿宋_GB2312"/>
          <w:kern w:val="2"/>
          <w:sz w:val="28"/>
          <w:szCs w:val="28"/>
        </w:rPr>
      </w:pPr>
      <w:r>
        <w:rPr>
          <w:rFonts w:hint="eastAsia" w:ascii="仿宋_GB2312" w:eastAsia="仿宋_GB2312"/>
          <w:kern w:val="2"/>
          <w:sz w:val="28"/>
          <w:szCs w:val="28"/>
        </w:rPr>
        <w:t>本项目要求学员在美国密苏里州立大学商学院学习12 个月，所有学员需修完11个模块的课程</w:t>
      </w:r>
      <w:r>
        <w:rPr>
          <w:rFonts w:hint="eastAsia" w:ascii="仿宋_GB2312" w:eastAsia="仿宋_GB2312"/>
          <w:sz w:val="28"/>
          <w:szCs w:val="28"/>
        </w:rPr>
        <w:t>(部分课程每期按学员背景等可能有稍许调整)并通过考试才能获得MBA学位</w:t>
      </w:r>
      <w:r>
        <w:rPr>
          <w:rFonts w:hint="eastAsia" w:ascii="仿宋_GB2312" w:eastAsia="仿宋_GB2312"/>
          <w:kern w:val="2"/>
          <w:sz w:val="28"/>
          <w:szCs w:val="28"/>
        </w:rPr>
        <w:t>。课程设置分两个方向。</w:t>
      </w:r>
    </w:p>
    <w:p>
      <w:pPr>
        <w:pStyle w:val="7"/>
        <w:spacing w:before="0" w:beforeAutospacing="0" w:after="0" w:afterAutospacing="0"/>
        <w:ind w:firstLine="482" w:firstLineChars="200"/>
        <w:rPr>
          <w:rFonts w:hint="eastAsia"/>
          <w:b/>
        </w:rPr>
      </w:pPr>
      <w:r>
        <w:rPr>
          <w:rFonts w:hint="eastAsia"/>
          <w:b/>
        </w:rPr>
        <w:t>A、国际管理方向MBA课程：</w:t>
      </w:r>
    </w:p>
    <w:tbl>
      <w:tblPr>
        <w:tblStyle w:val="6"/>
        <w:tblW w:w="8974" w:type="dxa"/>
        <w:jc w:val="center"/>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3420"/>
        <w:gridCol w:w="126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4" w:type="dxa"/>
            <w:shd w:val="clear" w:color="auto" w:fill="F3F3F3"/>
            <w:noWrap w:val="0"/>
            <w:vAlign w:val="top"/>
          </w:tcPr>
          <w:p>
            <w:pPr>
              <w:jc w:val="center"/>
              <w:rPr>
                <w:rFonts w:eastAsia="楷体_GB2312"/>
                <w:b/>
              </w:rPr>
            </w:pPr>
            <w:r>
              <w:rPr>
                <w:rFonts w:eastAsia="楷体_GB2312"/>
                <w:b/>
              </w:rPr>
              <w:t>课程编号</w:t>
            </w:r>
          </w:p>
        </w:tc>
        <w:tc>
          <w:tcPr>
            <w:tcW w:w="3420" w:type="dxa"/>
            <w:tcBorders>
              <w:right w:val="thinThickThinSmallGap" w:color="auto" w:sz="24" w:space="0"/>
            </w:tcBorders>
            <w:shd w:val="clear" w:color="auto" w:fill="F3F3F3"/>
            <w:noWrap w:val="0"/>
            <w:vAlign w:val="top"/>
          </w:tcPr>
          <w:p>
            <w:pPr>
              <w:jc w:val="center"/>
              <w:rPr>
                <w:rFonts w:eastAsia="楷体_GB2312"/>
                <w:b/>
                <w:u w:val="single"/>
              </w:rPr>
            </w:pPr>
            <w:r>
              <w:rPr>
                <w:rFonts w:eastAsia="楷体_GB2312"/>
                <w:b/>
              </w:rPr>
              <w:t>课程名称</w:t>
            </w:r>
          </w:p>
        </w:tc>
        <w:tc>
          <w:tcPr>
            <w:tcW w:w="1260" w:type="dxa"/>
            <w:tcBorders>
              <w:left w:val="thinThickThinSmallGap" w:color="auto" w:sz="24" w:space="0"/>
            </w:tcBorders>
            <w:shd w:val="clear" w:color="auto" w:fill="F3F3F3"/>
            <w:noWrap w:val="0"/>
            <w:vAlign w:val="top"/>
          </w:tcPr>
          <w:p>
            <w:pPr>
              <w:jc w:val="center"/>
              <w:rPr>
                <w:rFonts w:eastAsia="楷体_GB2312"/>
                <w:b/>
              </w:rPr>
            </w:pPr>
            <w:r>
              <w:rPr>
                <w:rFonts w:eastAsia="楷体_GB2312"/>
                <w:b/>
              </w:rPr>
              <w:t>课程编号</w:t>
            </w:r>
          </w:p>
        </w:tc>
        <w:tc>
          <w:tcPr>
            <w:tcW w:w="3060" w:type="dxa"/>
            <w:shd w:val="clear" w:color="auto" w:fill="F3F3F3"/>
            <w:noWrap w:val="0"/>
            <w:vAlign w:val="top"/>
          </w:tcPr>
          <w:p>
            <w:pPr>
              <w:jc w:val="center"/>
              <w:rPr>
                <w:rFonts w:eastAsia="楷体_GB2312"/>
                <w:b/>
                <w:u w:val="single"/>
              </w:rPr>
            </w:pPr>
            <w:r>
              <w:rPr>
                <w:rFonts w:eastAsia="楷体_GB2312"/>
                <w:b/>
              </w:rPr>
              <w:t>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4" w:type="dxa"/>
            <w:noWrap w:val="0"/>
            <w:vAlign w:val="top"/>
          </w:tcPr>
          <w:p>
            <w:pPr>
              <w:spacing w:line="420" w:lineRule="auto"/>
              <w:rPr>
                <w:rFonts w:eastAsia="楷体_GB2312"/>
                <w:bCs/>
              </w:rPr>
            </w:pPr>
            <w:r>
              <w:rPr>
                <w:bCs/>
              </w:rPr>
              <w:t>MGT 664</w:t>
            </w:r>
          </w:p>
        </w:tc>
        <w:tc>
          <w:tcPr>
            <w:tcW w:w="3420" w:type="dxa"/>
            <w:tcBorders>
              <w:right w:val="thinThickThinSmallGap" w:color="auto" w:sz="24" w:space="0"/>
            </w:tcBorders>
            <w:noWrap w:val="0"/>
            <w:vAlign w:val="top"/>
          </w:tcPr>
          <w:p>
            <w:pPr>
              <w:spacing w:line="420" w:lineRule="auto"/>
              <w:rPr>
                <w:rFonts w:eastAsia="楷体_GB2312"/>
                <w:bCs/>
              </w:rPr>
            </w:pPr>
            <w:r>
              <w:rPr>
                <w:bCs/>
              </w:rPr>
              <w:t>Organizational Behavior</w:t>
            </w:r>
          </w:p>
        </w:tc>
        <w:tc>
          <w:tcPr>
            <w:tcW w:w="1260" w:type="dxa"/>
            <w:tcBorders>
              <w:left w:val="thinThickThinSmallGap" w:color="auto" w:sz="24" w:space="0"/>
            </w:tcBorders>
            <w:noWrap w:val="0"/>
            <w:vAlign w:val="top"/>
          </w:tcPr>
          <w:p>
            <w:pPr>
              <w:spacing w:line="420" w:lineRule="auto"/>
              <w:rPr>
                <w:rFonts w:hint="eastAsia"/>
                <w:bCs/>
              </w:rPr>
            </w:pPr>
            <w:r>
              <w:rPr>
                <w:bCs/>
              </w:rPr>
              <w:t>MKT 650</w:t>
            </w:r>
          </w:p>
        </w:tc>
        <w:tc>
          <w:tcPr>
            <w:tcW w:w="3060" w:type="dxa"/>
            <w:noWrap w:val="0"/>
            <w:vAlign w:val="top"/>
          </w:tcPr>
          <w:p>
            <w:pPr>
              <w:rPr>
                <w:rFonts w:eastAsia="楷体_GB2312"/>
                <w:bCs/>
              </w:rPr>
            </w:pPr>
            <w:r>
              <w:t>Logistics and Supply Chain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4" w:type="dxa"/>
            <w:noWrap w:val="0"/>
            <w:vAlign w:val="top"/>
          </w:tcPr>
          <w:p>
            <w:pPr>
              <w:spacing w:line="420" w:lineRule="auto"/>
              <w:rPr>
                <w:bCs/>
              </w:rPr>
            </w:pPr>
            <w:r>
              <w:rPr>
                <w:bCs/>
              </w:rPr>
              <w:t>ACC 611</w:t>
            </w:r>
          </w:p>
        </w:tc>
        <w:tc>
          <w:tcPr>
            <w:tcW w:w="3420" w:type="dxa"/>
            <w:tcBorders>
              <w:right w:val="thinThickThinSmallGap" w:color="auto" w:sz="24" w:space="0"/>
            </w:tcBorders>
            <w:noWrap w:val="0"/>
            <w:vAlign w:val="top"/>
          </w:tcPr>
          <w:p>
            <w:pPr>
              <w:spacing w:line="420" w:lineRule="auto"/>
              <w:rPr>
                <w:bCs/>
              </w:rPr>
            </w:pPr>
            <w:r>
              <w:rPr>
                <w:bCs/>
              </w:rPr>
              <w:t>Managerial Accounting</w:t>
            </w:r>
          </w:p>
        </w:tc>
        <w:tc>
          <w:tcPr>
            <w:tcW w:w="1260" w:type="dxa"/>
            <w:tcBorders>
              <w:left w:val="thinThickThinSmallGap" w:color="auto" w:sz="24" w:space="0"/>
            </w:tcBorders>
            <w:noWrap w:val="0"/>
            <w:vAlign w:val="top"/>
          </w:tcPr>
          <w:p>
            <w:pPr>
              <w:spacing w:line="420" w:lineRule="auto"/>
              <w:rPr>
                <w:bCs/>
              </w:rPr>
            </w:pPr>
            <w:r>
              <w:rPr>
                <w:bCs/>
              </w:rPr>
              <w:t>FGB 584</w:t>
            </w:r>
          </w:p>
        </w:tc>
        <w:tc>
          <w:tcPr>
            <w:tcW w:w="3060" w:type="dxa"/>
            <w:noWrap w:val="0"/>
            <w:vAlign w:val="center"/>
          </w:tcPr>
          <w:p>
            <w:pPr>
              <w:rPr>
                <w:rFonts w:hint="eastAsia" w:eastAsia="楷体_GB2312"/>
                <w:bCs/>
              </w:rPr>
            </w:pPr>
            <w:r>
              <w:t>International</w:t>
            </w:r>
            <w:r>
              <w:rPr>
                <w:rFonts w:hint="eastAsia"/>
              </w:rPr>
              <w:t xml:space="preserve"> </w:t>
            </w:r>
            <w:r>
              <w:t>Financial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1234" w:type="dxa"/>
            <w:noWrap w:val="0"/>
            <w:vAlign w:val="top"/>
          </w:tcPr>
          <w:p>
            <w:pPr>
              <w:rPr>
                <w:rFonts w:eastAsia="楷体_GB2312"/>
                <w:bCs/>
              </w:rPr>
            </w:pPr>
            <w:r>
              <w:rPr>
                <w:bCs/>
              </w:rPr>
              <w:t>MKT 672</w:t>
            </w:r>
          </w:p>
        </w:tc>
        <w:tc>
          <w:tcPr>
            <w:tcW w:w="3420" w:type="dxa"/>
            <w:tcBorders>
              <w:right w:val="thinThickThinSmallGap" w:color="auto" w:sz="24" w:space="0"/>
            </w:tcBorders>
            <w:noWrap w:val="0"/>
            <w:vAlign w:val="top"/>
          </w:tcPr>
          <w:p>
            <w:pPr>
              <w:rPr>
                <w:rFonts w:eastAsia="楷体_GB2312"/>
                <w:bCs/>
              </w:rPr>
            </w:pPr>
            <w:r>
              <w:rPr>
                <w:bCs/>
              </w:rPr>
              <w:t>Management Information Systems</w:t>
            </w:r>
          </w:p>
        </w:tc>
        <w:tc>
          <w:tcPr>
            <w:tcW w:w="1260" w:type="dxa"/>
            <w:tcBorders>
              <w:left w:val="thinThickThinSmallGap" w:color="auto" w:sz="24" w:space="0"/>
            </w:tcBorders>
            <w:noWrap w:val="0"/>
            <w:vAlign w:val="top"/>
          </w:tcPr>
          <w:p>
            <w:pPr>
              <w:rPr>
                <w:rFonts w:eastAsia="楷体_GB2312"/>
                <w:bCs/>
              </w:rPr>
            </w:pPr>
            <w:r>
              <w:rPr>
                <w:rFonts w:eastAsia="楷体_GB2312"/>
                <w:bCs/>
              </w:rPr>
              <w:t>ECO</w:t>
            </w:r>
            <w:r>
              <w:rPr>
                <w:rFonts w:hint="eastAsia" w:eastAsia="楷体_GB2312"/>
                <w:bCs/>
              </w:rPr>
              <w:t xml:space="preserve"> 656</w:t>
            </w:r>
          </w:p>
        </w:tc>
        <w:tc>
          <w:tcPr>
            <w:tcW w:w="3060" w:type="dxa"/>
            <w:noWrap w:val="0"/>
            <w:vAlign w:val="top"/>
          </w:tcPr>
          <w:p>
            <w:pPr>
              <w:rPr>
                <w:rFonts w:hint="eastAsia" w:eastAsia="楷体_GB2312"/>
                <w:bCs/>
              </w:rPr>
            </w:pPr>
            <w:r>
              <w:rPr>
                <w:rFonts w:eastAsia="楷体_GB2312"/>
                <w:bCs/>
              </w:rPr>
              <w:t>Economics and Globalization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4" w:type="dxa"/>
            <w:noWrap w:val="0"/>
            <w:vAlign w:val="top"/>
          </w:tcPr>
          <w:p>
            <w:pPr>
              <w:spacing w:line="420" w:lineRule="auto"/>
              <w:rPr>
                <w:rFonts w:eastAsia="楷体_GB2312"/>
                <w:bCs/>
              </w:rPr>
            </w:pPr>
            <w:r>
              <w:rPr>
                <w:bCs/>
              </w:rPr>
              <w:t>QBA 665</w:t>
            </w:r>
          </w:p>
        </w:tc>
        <w:tc>
          <w:tcPr>
            <w:tcW w:w="3420" w:type="dxa"/>
            <w:tcBorders>
              <w:right w:val="thinThickThinSmallGap" w:color="auto" w:sz="24" w:space="0"/>
            </w:tcBorders>
            <w:noWrap w:val="0"/>
            <w:vAlign w:val="top"/>
          </w:tcPr>
          <w:p>
            <w:pPr>
              <w:rPr>
                <w:rFonts w:eastAsia="楷体_GB2312"/>
                <w:bCs/>
              </w:rPr>
            </w:pPr>
            <w:r>
              <w:rPr>
                <w:bCs/>
              </w:rPr>
              <w:t>Quant</w:t>
            </w:r>
            <w:r>
              <w:rPr>
                <w:rFonts w:hint="eastAsia"/>
                <w:bCs/>
              </w:rPr>
              <w:t>itative</w:t>
            </w:r>
            <w:r>
              <w:rPr>
                <w:bCs/>
              </w:rPr>
              <w:t xml:space="preserve"> Methods</w:t>
            </w:r>
            <w:r>
              <w:rPr>
                <w:rFonts w:hint="eastAsia"/>
                <w:bCs/>
              </w:rPr>
              <w:t xml:space="preserve"> - </w:t>
            </w:r>
            <w:r>
              <w:rPr>
                <w:bCs/>
              </w:rPr>
              <w:t>Decision Making</w:t>
            </w:r>
          </w:p>
        </w:tc>
        <w:tc>
          <w:tcPr>
            <w:tcW w:w="1260" w:type="dxa"/>
            <w:tcBorders>
              <w:left w:val="thinThickThinSmallGap" w:color="auto" w:sz="24" w:space="0"/>
            </w:tcBorders>
            <w:noWrap w:val="0"/>
            <w:vAlign w:val="top"/>
          </w:tcPr>
          <w:p>
            <w:pPr>
              <w:spacing w:line="420" w:lineRule="auto"/>
              <w:rPr>
                <w:bCs/>
              </w:rPr>
            </w:pPr>
            <w:r>
              <w:rPr>
                <w:bCs/>
              </w:rPr>
              <w:t>MKT</w:t>
            </w:r>
            <w:r>
              <w:rPr>
                <w:rFonts w:hint="eastAsia"/>
                <w:bCs/>
              </w:rPr>
              <w:t xml:space="preserve"> 605</w:t>
            </w:r>
          </w:p>
        </w:tc>
        <w:tc>
          <w:tcPr>
            <w:tcW w:w="3060" w:type="dxa"/>
            <w:noWrap w:val="0"/>
            <w:vAlign w:val="top"/>
          </w:tcPr>
          <w:p>
            <w:pPr>
              <w:spacing w:line="420" w:lineRule="auto"/>
              <w:rPr>
                <w:rFonts w:hint="eastAsia"/>
                <w:bCs/>
              </w:rPr>
            </w:pPr>
            <w:r>
              <w:rPr>
                <w:bCs/>
              </w:rPr>
              <w:t>International Marketing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4" w:type="dxa"/>
            <w:noWrap w:val="0"/>
            <w:vAlign w:val="top"/>
          </w:tcPr>
          <w:p>
            <w:pPr>
              <w:spacing w:line="420" w:lineRule="auto"/>
              <w:rPr>
                <w:bCs/>
              </w:rPr>
            </w:pPr>
            <w:r>
              <w:rPr>
                <w:bCs/>
              </w:rPr>
              <w:t>FGB 680</w:t>
            </w:r>
          </w:p>
        </w:tc>
        <w:tc>
          <w:tcPr>
            <w:tcW w:w="3420" w:type="dxa"/>
            <w:tcBorders>
              <w:right w:val="thinThickThinSmallGap" w:color="auto" w:sz="24" w:space="0"/>
            </w:tcBorders>
            <w:noWrap w:val="0"/>
            <w:vAlign w:val="top"/>
          </w:tcPr>
          <w:p>
            <w:pPr>
              <w:spacing w:line="420" w:lineRule="auto"/>
              <w:rPr>
                <w:bCs/>
              </w:rPr>
            </w:pPr>
            <w:r>
              <w:rPr>
                <w:bCs/>
              </w:rPr>
              <w:t>Advanced Financial Management</w:t>
            </w:r>
          </w:p>
        </w:tc>
        <w:tc>
          <w:tcPr>
            <w:tcW w:w="1260" w:type="dxa"/>
            <w:tcBorders>
              <w:left w:val="thinThickThinSmallGap" w:color="auto" w:sz="24" w:space="0"/>
            </w:tcBorders>
            <w:noWrap w:val="0"/>
            <w:vAlign w:val="top"/>
          </w:tcPr>
          <w:p>
            <w:pPr>
              <w:spacing w:line="420" w:lineRule="auto"/>
              <w:rPr>
                <w:rFonts w:hint="eastAsia" w:eastAsia="楷体_GB2312"/>
                <w:bCs/>
              </w:rPr>
            </w:pPr>
            <w:r>
              <w:rPr>
                <w:bCs/>
              </w:rPr>
              <w:t>MGT</w:t>
            </w:r>
            <w:r>
              <w:rPr>
                <w:rFonts w:hint="eastAsia"/>
                <w:bCs/>
              </w:rPr>
              <w:t xml:space="preserve"> 6</w:t>
            </w:r>
            <w:r>
              <w:rPr>
                <w:bCs/>
              </w:rPr>
              <w:t>90</w:t>
            </w:r>
          </w:p>
        </w:tc>
        <w:tc>
          <w:tcPr>
            <w:tcW w:w="3060" w:type="dxa"/>
            <w:noWrap w:val="0"/>
            <w:vAlign w:val="top"/>
          </w:tcPr>
          <w:p>
            <w:pPr>
              <w:rPr>
                <w:rFonts w:eastAsia="楷体_GB2312"/>
                <w:bCs/>
              </w:rPr>
            </w:pPr>
            <w:r>
              <w:rPr>
                <w:rFonts w:eastAsia="楷体_GB2312"/>
                <w:bCs/>
              </w:rPr>
              <w:t>Advanced</w:t>
            </w:r>
            <w:r>
              <w:rPr>
                <w:rFonts w:hint="eastAsia" w:eastAsia="楷体_GB2312"/>
                <w:bCs/>
              </w:rPr>
              <w:t xml:space="preserve"> Seminars in </w:t>
            </w:r>
            <w:r>
              <w:rPr>
                <w:rFonts w:eastAsia="楷体_GB2312"/>
                <w:bCs/>
              </w:rPr>
              <w:t>Management Strategy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1234" w:type="dxa"/>
            <w:noWrap w:val="0"/>
            <w:vAlign w:val="top"/>
          </w:tcPr>
          <w:p>
            <w:pPr>
              <w:spacing w:line="420" w:lineRule="auto"/>
              <w:rPr>
                <w:bCs/>
              </w:rPr>
            </w:pPr>
            <w:r>
              <w:rPr>
                <w:bCs/>
              </w:rPr>
              <w:t>MGT 667</w:t>
            </w:r>
          </w:p>
        </w:tc>
        <w:tc>
          <w:tcPr>
            <w:tcW w:w="3420" w:type="dxa"/>
            <w:tcBorders>
              <w:right w:val="thinThickThinSmallGap" w:color="auto" w:sz="24" w:space="0"/>
            </w:tcBorders>
            <w:noWrap w:val="0"/>
            <w:vAlign w:val="top"/>
          </w:tcPr>
          <w:p>
            <w:pPr>
              <w:spacing w:line="420" w:lineRule="auto"/>
              <w:rPr>
                <w:bCs/>
              </w:rPr>
            </w:pPr>
            <w:r>
              <w:rPr>
                <w:bCs/>
              </w:rPr>
              <w:t>Organization Strategy and Policy</w:t>
            </w:r>
          </w:p>
        </w:tc>
        <w:tc>
          <w:tcPr>
            <w:tcW w:w="1260" w:type="dxa"/>
            <w:tcBorders>
              <w:left w:val="thinThickThinSmallGap" w:color="auto" w:sz="24" w:space="0"/>
            </w:tcBorders>
            <w:noWrap w:val="0"/>
            <w:vAlign w:val="top"/>
          </w:tcPr>
          <w:p>
            <w:pPr>
              <w:rPr>
                <w:rFonts w:hint="eastAsia" w:eastAsia="楷体_GB2312"/>
                <w:bCs/>
              </w:rPr>
            </w:pPr>
          </w:p>
        </w:tc>
        <w:tc>
          <w:tcPr>
            <w:tcW w:w="3060" w:type="dxa"/>
            <w:noWrap w:val="0"/>
            <w:vAlign w:val="top"/>
          </w:tcPr>
          <w:p>
            <w:pPr>
              <w:rPr>
                <w:rFonts w:eastAsia="楷体_GB2312"/>
                <w:bCs/>
              </w:rPr>
            </w:pPr>
          </w:p>
        </w:tc>
      </w:tr>
    </w:tbl>
    <w:p>
      <w:pPr>
        <w:pStyle w:val="7"/>
        <w:spacing w:before="0" w:beforeAutospacing="0" w:after="0" w:afterAutospacing="0"/>
        <w:ind w:firstLine="479" w:firstLineChars="199"/>
        <w:rPr>
          <w:rFonts w:hint="eastAsia"/>
          <w:b/>
        </w:rPr>
      </w:pPr>
      <w:r>
        <w:rPr>
          <w:rFonts w:hint="eastAsia"/>
          <w:b/>
        </w:rPr>
        <w:t>B、金融和财务管理方向MBA课程：</w:t>
      </w:r>
    </w:p>
    <w:tbl>
      <w:tblPr>
        <w:tblStyle w:val="6"/>
        <w:tblW w:w="8884" w:type="dxa"/>
        <w:jc w:val="center"/>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3510"/>
        <w:gridCol w:w="126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4" w:type="dxa"/>
            <w:shd w:val="clear" w:color="auto" w:fill="F3F3F3"/>
            <w:noWrap w:val="0"/>
            <w:vAlign w:val="top"/>
          </w:tcPr>
          <w:p>
            <w:pPr>
              <w:jc w:val="center"/>
              <w:rPr>
                <w:rFonts w:eastAsia="楷体_GB2312"/>
                <w:b/>
              </w:rPr>
            </w:pPr>
            <w:r>
              <w:rPr>
                <w:rFonts w:eastAsia="楷体_GB2312"/>
                <w:b/>
              </w:rPr>
              <w:t>课程编号</w:t>
            </w:r>
          </w:p>
        </w:tc>
        <w:tc>
          <w:tcPr>
            <w:tcW w:w="3510" w:type="dxa"/>
            <w:tcBorders>
              <w:right w:val="thinThickThinSmallGap" w:color="auto" w:sz="24" w:space="0"/>
            </w:tcBorders>
            <w:shd w:val="clear" w:color="auto" w:fill="F3F3F3"/>
            <w:noWrap w:val="0"/>
            <w:vAlign w:val="top"/>
          </w:tcPr>
          <w:p>
            <w:pPr>
              <w:jc w:val="center"/>
              <w:rPr>
                <w:rFonts w:eastAsia="楷体_GB2312"/>
                <w:b/>
                <w:u w:val="single"/>
              </w:rPr>
            </w:pPr>
            <w:r>
              <w:rPr>
                <w:rFonts w:eastAsia="楷体_GB2312"/>
                <w:b/>
              </w:rPr>
              <w:t>课程名称</w:t>
            </w:r>
          </w:p>
        </w:tc>
        <w:tc>
          <w:tcPr>
            <w:tcW w:w="1260" w:type="dxa"/>
            <w:tcBorders>
              <w:left w:val="thinThickThinSmallGap" w:color="auto" w:sz="24" w:space="0"/>
            </w:tcBorders>
            <w:shd w:val="clear" w:color="auto" w:fill="F3F3F3"/>
            <w:noWrap w:val="0"/>
            <w:vAlign w:val="top"/>
          </w:tcPr>
          <w:p>
            <w:pPr>
              <w:jc w:val="center"/>
              <w:rPr>
                <w:rFonts w:eastAsia="楷体_GB2312"/>
                <w:b/>
              </w:rPr>
            </w:pPr>
            <w:r>
              <w:rPr>
                <w:rFonts w:eastAsia="楷体_GB2312"/>
                <w:b/>
              </w:rPr>
              <w:t>课程编号</w:t>
            </w:r>
          </w:p>
        </w:tc>
        <w:tc>
          <w:tcPr>
            <w:tcW w:w="2880" w:type="dxa"/>
            <w:shd w:val="clear" w:color="auto" w:fill="F3F3F3"/>
            <w:noWrap w:val="0"/>
            <w:vAlign w:val="top"/>
          </w:tcPr>
          <w:p>
            <w:pPr>
              <w:jc w:val="center"/>
              <w:rPr>
                <w:rFonts w:eastAsia="楷体_GB2312"/>
                <w:b/>
                <w:u w:val="single"/>
              </w:rPr>
            </w:pPr>
            <w:r>
              <w:rPr>
                <w:rFonts w:eastAsia="楷体_GB2312"/>
                <w:b/>
              </w:rPr>
              <w:t>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4" w:type="dxa"/>
            <w:noWrap w:val="0"/>
            <w:vAlign w:val="top"/>
          </w:tcPr>
          <w:p>
            <w:pPr>
              <w:rPr>
                <w:rFonts w:eastAsia="楷体_GB2312"/>
                <w:bCs/>
              </w:rPr>
            </w:pPr>
            <w:r>
              <w:rPr>
                <w:bCs/>
              </w:rPr>
              <w:t>MGT 664</w:t>
            </w:r>
          </w:p>
        </w:tc>
        <w:tc>
          <w:tcPr>
            <w:tcW w:w="3510" w:type="dxa"/>
            <w:tcBorders>
              <w:right w:val="thinThickThinSmallGap" w:color="auto" w:sz="24" w:space="0"/>
            </w:tcBorders>
            <w:noWrap w:val="0"/>
            <w:vAlign w:val="top"/>
          </w:tcPr>
          <w:p>
            <w:pPr>
              <w:rPr>
                <w:rFonts w:eastAsia="楷体_GB2312"/>
                <w:bCs/>
              </w:rPr>
            </w:pPr>
            <w:r>
              <w:rPr>
                <w:bCs/>
              </w:rPr>
              <w:t>Organizational Behavior</w:t>
            </w:r>
          </w:p>
        </w:tc>
        <w:tc>
          <w:tcPr>
            <w:tcW w:w="1260" w:type="dxa"/>
            <w:tcBorders>
              <w:left w:val="thinThickThinSmallGap" w:color="auto" w:sz="24" w:space="0"/>
            </w:tcBorders>
            <w:noWrap w:val="0"/>
            <w:vAlign w:val="top"/>
          </w:tcPr>
          <w:p>
            <w:pPr>
              <w:rPr>
                <w:rFonts w:hint="eastAsia" w:eastAsia="楷体_GB2312"/>
                <w:bCs/>
              </w:rPr>
            </w:pPr>
            <w:r>
              <w:rPr>
                <w:rFonts w:hint="eastAsia"/>
                <w:bCs/>
              </w:rPr>
              <w:t>FGB</w:t>
            </w:r>
            <w:r>
              <w:rPr>
                <w:bCs/>
              </w:rPr>
              <w:t xml:space="preserve"> </w:t>
            </w:r>
            <w:r>
              <w:rPr>
                <w:rFonts w:hint="eastAsia"/>
                <w:bCs/>
              </w:rPr>
              <w:t>700</w:t>
            </w:r>
          </w:p>
        </w:tc>
        <w:tc>
          <w:tcPr>
            <w:tcW w:w="2880" w:type="dxa"/>
            <w:noWrap w:val="0"/>
            <w:vAlign w:val="top"/>
          </w:tcPr>
          <w:p>
            <w:pPr>
              <w:rPr>
                <w:rFonts w:hint="eastAsia"/>
              </w:rPr>
            </w:pPr>
            <w:r>
              <w:rPr>
                <w:rFonts w:hint="eastAsia"/>
              </w:rPr>
              <w:t>Derivative Markets</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4" w:type="dxa"/>
            <w:noWrap w:val="0"/>
            <w:vAlign w:val="top"/>
          </w:tcPr>
          <w:p>
            <w:pPr>
              <w:spacing w:line="420" w:lineRule="auto"/>
              <w:rPr>
                <w:bCs/>
              </w:rPr>
            </w:pPr>
            <w:r>
              <w:rPr>
                <w:bCs/>
              </w:rPr>
              <w:t>ACC 611</w:t>
            </w:r>
          </w:p>
        </w:tc>
        <w:tc>
          <w:tcPr>
            <w:tcW w:w="3510" w:type="dxa"/>
            <w:tcBorders>
              <w:right w:val="thinThickThinSmallGap" w:color="auto" w:sz="24" w:space="0"/>
            </w:tcBorders>
            <w:noWrap w:val="0"/>
            <w:vAlign w:val="top"/>
          </w:tcPr>
          <w:p>
            <w:pPr>
              <w:spacing w:line="420" w:lineRule="auto"/>
              <w:rPr>
                <w:bCs/>
              </w:rPr>
            </w:pPr>
            <w:r>
              <w:rPr>
                <w:bCs/>
              </w:rPr>
              <w:t>Managerial Accounting</w:t>
            </w:r>
          </w:p>
        </w:tc>
        <w:tc>
          <w:tcPr>
            <w:tcW w:w="1260" w:type="dxa"/>
            <w:tcBorders>
              <w:left w:val="thinThickThinSmallGap" w:color="auto" w:sz="24" w:space="0"/>
            </w:tcBorders>
            <w:noWrap w:val="0"/>
            <w:vAlign w:val="top"/>
          </w:tcPr>
          <w:p>
            <w:pPr>
              <w:spacing w:line="420" w:lineRule="auto"/>
              <w:rPr>
                <w:rFonts w:eastAsia="楷体_GB2312"/>
                <w:bCs/>
              </w:rPr>
            </w:pPr>
            <w:r>
              <w:rPr>
                <w:bCs/>
              </w:rPr>
              <w:t>FGB 584</w:t>
            </w:r>
          </w:p>
        </w:tc>
        <w:tc>
          <w:tcPr>
            <w:tcW w:w="2880" w:type="dxa"/>
            <w:noWrap w:val="0"/>
            <w:vAlign w:val="top"/>
          </w:tcPr>
          <w:p>
            <w:pPr>
              <w:rPr>
                <w:rFonts w:hint="eastAsia" w:eastAsia="楷体_GB2312"/>
                <w:bCs/>
              </w:rPr>
            </w:pPr>
            <w:r>
              <w:t>International Financial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4" w:type="dxa"/>
            <w:noWrap w:val="0"/>
            <w:vAlign w:val="top"/>
          </w:tcPr>
          <w:p>
            <w:pPr>
              <w:rPr>
                <w:rFonts w:eastAsia="楷体_GB2312"/>
                <w:bCs/>
              </w:rPr>
            </w:pPr>
            <w:r>
              <w:rPr>
                <w:rFonts w:hint="eastAsia"/>
                <w:bCs/>
              </w:rPr>
              <w:t xml:space="preserve">FGB </w:t>
            </w:r>
            <w:r>
              <w:rPr>
                <w:bCs/>
              </w:rPr>
              <w:t>72</w:t>
            </w:r>
            <w:r>
              <w:rPr>
                <w:rFonts w:hint="eastAsia"/>
                <w:bCs/>
              </w:rPr>
              <w:t>0</w:t>
            </w:r>
          </w:p>
        </w:tc>
        <w:tc>
          <w:tcPr>
            <w:tcW w:w="3510" w:type="dxa"/>
            <w:tcBorders>
              <w:right w:val="thinThickThinSmallGap" w:color="auto" w:sz="24" w:space="0"/>
            </w:tcBorders>
            <w:noWrap w:val="0"/>
            <w:vAlign w:val="top"/>
          </w:tcPr>
          <w:p>
            <w:pPr>
              <w:rPr>
                <w:rFonts w:eastAsia="楷体_GB2312"/>
                <w:bCs/>
              </w:rPr>
            </w:pPr>
            <w:r>
              <w:rPr>
                <w:rFonts w:hint="eastAsia"/>
                <w:bCs/>
              </w:rPr>
              <w:t xml:space="preserve">Investment </w:t>
            </w:r>
            <w:r>
              <w:rPr>
                <w:bCs/>
              </w:rPr>
              <w:t>Management</w:t>
            </w:r>
          </w:p>
        </w:tc>
        <w:tc>
          <w:tcPr>
            <w:tcW w:w="1260" w:type="dxa"/>
            <w:tcBorders>
              <w:left w:val="thinThickThinSmallGap" w:color="auto" w:sz="24" w:space="0"/>
            </w:tcBorders>
            <w:noWrap w:val="0"/>
            <w:vAlign w:val="top"/>
          </w:tcPr>
          <w:p>
            <w:pPr>
              <w:rPr>
                <w:rFonts w:eastAsia="楷体_GB2312"/>
                <w:bCs/>
              </w:rPr>
            </w:pPr>
            <w:r>
              <w:rPr>
                <w:rFonts w:eastAsia="楷体_GB2312"/>
                <w:bCs/>
              </w:rPr>
              <w:t>ECO</w:t>
            </w:r>
            <w:r>
              <w:rPr>
                <w:rFonts w:hint="eastAsia" w:eastAsia="楷体_GB2312"/>
                <w:bCs/>
              </w:rPr>
              <w:t xml:space="preserve"> 656</w:t>
            </w:r>
          </w:p>
        </w:tc>
        <w:tc>
          <w:tcPr>
            <w:tcW w:w="2880" w:type="dxa"/>
            <w:noWrap w:val="0"/>
            <w:vAlign w:val="top"/>
          </w:tcPr>
          <w:p>
            <w:pPr>
              <w:rPr>
                <w:rFonts w:hint="eastAsia" w:eastAsia="楷体_GB2312"/>
                <w:bCs/>
              </w:rPr>
            </w:pPr>
            <w:r>
              <w:rPr>
                <w:rFonts w:eastAsia="楷体_GB2312"/>
                <w:bCs/>
              </w:rPr>
              <w:t>Economics and Globalization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4" w:type="dxa"/>
            <w:noWrap w:val="0"/>
            <w:vAlign w:val="top"/>
          </w:tcPr>
          <w:p>
            <w:pPr>
              <w:spacing w:line="420" w:lineRule="auto"/>
              <w:rPr>
                <w:bCs/>
              </w:rPr>
            </w:pPr>
            <w:r>
              <w:rPr>
                <w:bCs/>
              </w:rPr>
              <w:t>QBA 665</w:t>
            </w:r>
          </w:p>
        </w:tc>
        <w:tc>
          <w:tcPr>
            <w:tcW w:w="3510" w:type="dxa"/>
            <w:tcBorders>
              <w:right w:val="thinThickThinSmallGap" w:color="auto" w:sz="24" w:space="0"/>
            </w:tcBorders>
            <w:noWrap w:val="0"/>
            <w:vAlign w:val="top"/>
          </w:tcPr>
          <w:p>
            <w:pPr>
              <w:rPr>
                <w:rFonts w:eastAsia="楷体_GB2312"/>
                <w:bCs/>
              </w:rPr>
            </w:pPr>
            <w:r>
              <w:rPr>
                <w:bCs/>
              </w:rPr>
              <w:t>Quant</w:t>
            </w:r>
            <w:r>
              <w:rPr>
                <w:rFonts w:hint="eastAsia"/>
                <w:bCs/>
              </w:rPr>
              <w:t>itative</w:t>
            </w:r>
            <w:r>
              <w:rPr>
                <w:bCs/>
              </w:rPr>
              <w:t xml:space="preserve"> Methods</w:t>
            </w:r>
            <w:r>
              <w:rPr>
                <w:rFonts w:hint="eastAsia"/>
                <w:bCs/>
              </w:rPr>
              <w:t xml:space="preserve"> - </w:t>
            </w:r>
            <w:r>
              <w:rPr>
                <w:bCs/>
              </w:rPr>
              <w:t>Decision Making</w:t>
            </w:r>
          </w:p>
        </w:tc>
        <w:tc>
          <w:tcPr>
            <w:tcW w:w="1260" w:type="dxa"/>
            <w:tcBorders>
              <w:left w:val="thinThickThinSmallGap" w:color="auto" w:sz="24" w:space="0"/>
            </w:tcBorders>
            <w:noWrap w:val="0"/>
            <w:vAlign w:val="top"/>
          </w:tcPr>
          <w:p>
            <w:pPr>
              <w:spacing w:line="420" w:lineRule="auto"/>
              <w:rPr>
                <w:bCs/>
              </w:rPr>
            </w:pPr>
            <w:r>
              <w:rPr>
                <w:rFonts w:hint="eastAsia"/>
                <w:bCs/>
              </w:rPr>
              <w:t>FGB 705</w:t>
            </w:r>
          </w:p>
        </w:tc>
        <w:tc>
          <w:tcPr>
            <w:tcW w:w="2880" w:type="dxa"/>
            <w:noWrap w:val="0"/>
            <w:vAlign w:val="top"/>
          </w:tcPr>
          <w:p>
            <w:pPr>
              <w:spacing w:line="420" w:lineRule="auto"/>
              <w:rPr>
                <w:rFonts w:hint="eastAsia"/>
                <w:bCs/>
              </w:rPr>
            </w:pPr>
            <w:r>
              <w:rPr>
                <w:rFonts w:hint="eastAsia"/>
                <w:bCs/>
              </w:rPr>
              <w:t>Advanced Finance Seminars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4" w:type="dxa"/>
            <w:noWrap w:val="0"/>
            <w:vAlign w:val="top"/>
          </w:tcPr>
          <w:p>
            <w:pPr>
              <w:spacing w:line="420" w:lineRule="auto"/>
              <w:rPr>
                <w:bCs/>
              </w:rPr>
            </w:pPr>
            <w:r>
              <w:rPr>
                <w:bCs/>
              </w:rPr>
              <w:t>FGB 680</w:t>
            </w:r>
          </w:p>
        </w:tc>
        <w:tc>
          <w:tcPr>
            <w:tcW w:w="3510" w:type="dxa"/>
            <w:tcBorders>
              <w:right w:val="thinThickThinSmallGap" w:color="auto" w:sz="24" w:space="0"/>
            </w:tcBorders>
            <w:noWrap w:val="0"/>
            <w:vAlign w:val="top"/>
          </w:tcPr>
          <w:p>
            <w:pPr>
              <w:spacing w:line="420" w:lineRule="auto"/>
              <w:rPr>
                <w:bCs/>
              </w:rPr>
            </w:pPr>
            <w:r>
              <w:rPr>
                <w:bCs/>
              </w:rPr>
              <w:t>Advanced Financial Management</w:t>
            </w:r>
          </w:p>
        </w:tc>
        <w:tc>
          <w:tcPr>
            <w:tcW w:w="1260" w:type="dxa"/>
            <w:tcBorders>
              <w:left w:val="thinThickThinSmallGap" w:color="auto" w:sz="24" w:space="0"/>
            </w:tcBorders>
            <w:noWrap w:val="0"/>
            <w:vAlign w:val="top"/>
          </w:tcPr>
          <w:p>
            <w:pPr>
              <w:spacing w:line="420" w:lineRule="auto"/>
              <w:rPr>
                <w:rFonts w:hint="eastAsia"/>
                <w:bCs/>
              </w:rPr>
            </w:pPr>
            <w:r>
              <w:rPr>
                <w:bCs/>
              </w:rPr>
              <w:t>MGT</w:t>
            </w:r>
            <w:r>
              <w:rPr>
                <w:rFonts w:hint="eastAsia"/>
                <w:bCs/>
              </w:rPr>
              <w:t xml:space="preserve"> 6</w:t>
            </w:r>
            <w:r>
              <w:rPr>
                <w:bCs/>
              </w:rPr>
              <w:t>90</w:t>
            </w:r>
          </w:p>
        </w:tc>
        <w:tc>
          <w:tcPr>
            <w:tcW w:w="2880" w:type="dxa"/>
            <w:noWrap w:val="0"/>
            <w:vAlign w:val="top"/>
          </w:tcPr>
          <w:p>
            <w:pPr>
              <w:rPr>
                <w:rFonts w:eastAsia="楷体_GB2312"/>
                <w:bCs/>
              </w:rPr>
            </w:pPr>
            <w:r>
              <w:rPr>
                <w:rFonts w:eastAsia="楷体_GB2312"/>
                <w:bCs/>
              </w:rPr>
              <w:t xml:space="preserve">Advanced </w:t>
            </w:r>
            <w:r>
              <w:rPr>
                <w:rFonts w:hint="eastAsia" w:eastAsia="楷体_GB2312"/>
                <w:bCs/>
              </w:rPr>
              <w:t xml:space="preserve">Seminars in </w:t>
            </w:r>
            <w:r>
              <w:rPr>
                <w:rFonts w:eastAsia="楷体_GB2312"/>
                <w:bCs/>
              </w:rPr>
              <w:t>Management Strategy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1234" w:type="dxa"/>
            <w:noWrap w:val="0"/>
            <w:vAlign w:val="top"/>
          </w:tcPr>
          <w:p>
            <w:pPr>
              <w:rPr>
                <w:rFonts w:eastAsia="楷体_GB2312"/>
                <w:bCs/>
              </w:rPr>
            </w:pPr>
            <w:r>
              <w:rPr>
                <w:bCs/>
              </w:rPr>
              <w:t>MGT 667</w:t>
            </w:r>
          </w:p>
        </w:tc>
        <w:tc>
          <w:tcPr>
            <w:tcW w:w="3510" w:type="dxa"/>
            <w:tcBorders>
              <w:right w:val="thinThickThinSmallGap" w:color="auto" w:sz="24" w:space="0"/>
            </w:tcBorders>
            <w:noWrap w:val="0"/>
            <w:vAlign w:val="top"/>
          </w:tcPr>
          <w:p>
            <w:pPr>
              <w:rPr>
                <w:rFonts w:hint="eastAsia"/>
                <w:bCs/>
              </w:rPr>
            </w:pPr>
            <w:r>
              <w:rPr>
                <w:bCs/>
              </w:rPr>
              <w:t>Organization Strategy and Policy</w:t>
            </w:r>
          </w:p>
        </w:tc>
        <w:tc>
          <w:tcPr>
            <w:tcW w:w="1260" w:type="dxa"/>
            <w:tcBorders>
              <w:left w:val="thinThickThinSmallGap" w:color="auto" w:sz="24" w:space="0"/>
            </w:tcBorders>
            <w:noWrap w:val="0"/>
            <w:vAlign w:val="top"/>
          </w:tcPr>
          <w:p>
            <w:pPr>
              <w:rPr>
                <w:rFonts w:hint="eastAsia" w:eastAsia="楷体_GB2312"/>
                <w:bCs/>
              </w:rPr>
            </w:pPr>
            <w:r>
              <w:rPr>
                <w:rFonts w:hint="eastAsia" w:eastAsia="楷体_GB2312"/>
                <w:bCs/>
              </w:rPr>
              <w:t xml:space="preserve"> </w:t>
            </w:r>
          </w:p>
        </w:tc>
        <w:tc>
          <w:tcPr>
            <w:tcW w:w="2880" w:type="dxa"/>
            <w:noWrap w:val="0"/>
            <w:vAlign w:val="top"/>
          </w:tcPr>
          <w:p>
            <w:pPr>
              <w:rPr>
                <w:rFonts w:eastAsia="楷体_GB2312"/>
                <w:bCs/>
              </w:rPr>
            </w:pPr>
            <w:r>
              <w:rPr>
                <w:rFonts w:hint="eastAsia" w:eastAsia="楷体_GB2312"/>
                <w:bCs/>
              </w:rPr>
              <w:t xml:space="preserve"> </w:t>
            </w:r>
          </w:p>
        </w:tc>
      </w:tr>
    </w:tbl>
    <w:p>
      <w:pPr>
        <w:pStyle w:val="7"/>
        <w:spacing w:before="0" w:beforeAutospacing="0" w:after="0" w:afterAutospacing="0"/>
        <w:rPr>
          <w:rFonts w:hint="eastAsia"/>
          <w:b/>
          <w:bCs/>
        </w:rPr>
      </w:pPr>
    </w:p>
    <w:p>
      <w:pPr>
        <w:pStyle w:val="7"/>
        <w:spacing w:before="0" w:beforeAutospacing="0" w:after="0" w:afterAutospacing="0"/>
        <w:ind w:firstLine="410" w:firstLineChars="146"/>
        <w:textAlignment w:val="baseline"/>
        <w:rPr>
          <w:rFonts w:hint="eastAsia" w:ascii="仿宋_GB2312" w:eastAsia="仿宋_GB2312"/>
          <w:b/>
          <w:sz w:val="28"/>
        </w:rPr>
      </w:pPr>
      <w:r>
        <w:rPr>
          <w:rFonts w:hint="eastAsia" w:ascii="仿宋_GB2312" w:eastAsia="仿宋_GB2312"/>
          <w:b/>
          <w:sz w:val="28"/>
        </w:rPr>
        <w:t>（五）教学方法和培养方式</w:t>
      </w:r>
    </w:p>
    <w:p>
      <w:pPr>
        <w:pStyle w:val="7"/>
        <w:spacing w:before="0" w:beforeAutospacing="0" w:after="0" w:afterAutospacing="0"/>
        <w:ind w:firstLine="560" w:firstLineChars="200"/>
        <w:rPr>
          <w:rFonts w:hint="eastAsia" w:ascii="仿宋_GB2312" w:eastAsia="仿宋_GB2312"/>
          <w:kern w:val="2"/>
          <w:sz w:val="28"/>
        </w:rPr>
      </w:pPr>
      <w:r>
        <w:rPr>
          <w:rFonts w:hint="eastAsia" w:ascii="仿宋_GB2312" w:eastAsia="仿宋_GB2312"/>
          <w:kern w:val="2"/>
          <w:sz w:val="28"/>
        </w:rPr>
        <w:t>1、本项目采用美国</w:t>
      </w:r>
      <w:r>
        <w:rPr>
          <w:rFonts w:ascii="仿宋_GB2312" w:eastAsia="仿宋_GB2312"/>
          <w:kern w:val="2"/>
          <w:sz w:val="28"/>
        </w:rPr>
        <w:t>密苏里州立大学</w:t>
      </w:r>
      <w:r>
        <w:rPr>
          <w:rFonts w:hint="eastAsia" w:ascii="仿宋_GB2312" w:eastAsia="仿宋_GB2312"/>
          <w:kern w:val="2"/>
          <w:sz w:val="28"/>
        </w:rPr>
        <w:t>工商管理学院的</w:t>
      </w:r>
      <w:r>
        <w:rPr>
          <w:rFonts w:ascii="仿宋_GB2312" w:eastAsia="仿宋_GB2312"/>
          <w:kern w:val="2"/>
          <w:sz w:val="28"/>
        </w:rPr>
        <w:t>主流课程，</w:t>
      </w:r>
      <w:r>
        <w:rPr>
          <w:rFonts w:hint="eastAsia" w:ascii="仿宋_GB2312" w:eastAsia="仿宋_GB2312"/>
          <w:kern w:val="2"/>
          <w:sz w:val="28"/>
        </w:rPr>
        <w:t>即</w:t>
      </w:r>
      <w:r>
        <w:rPr>
          <w:rFonts w:ascii="仿宋_GB2312" w:eastAsia="仿宋_GB2312"/>
          <w:kern w:val="2"/>
          <w:sz w:val="28"/>
        </w:rPr>
        <w:t>美</w:t>
      </w:r>
      <w:r>
        <w:rPr>
          <w:rFonts w:hint="eastAsia" w:ascii="仿宋_GB2312" w:eastAsia="仿宋_GB2312"/>
          <w:kern w:val="2"/>
          <w:sz w:val="28"/>
        </w:rPr>
        <w:t>国</w:t>
      </w:r>
      <w:r>
        <w:rPr>
          <w:rFonts w:ascii="仿宋_GB2312" w:eastAsia="仿宋_GB2312"/>
          <w:kern w:val="2"/>
          <w:sz w:val="28"/>
        </w:rPr>
        <w:t>大学同期</w:t>
      </w:r>
      <w:r>
        <w:rPr>
          <w:rFonts w:hint="eastAsia" w:ascii="仿宋_GB2312" w:eastAsia="仿宋_GB2312"/>
          <w:kern w:val="2"/>
          <w:sz w:val="28"/>
        </w:rPr>
        <w:t>MBA</w:t>
      </w:r>
      <w:r>
        <w:rPr>
          <w:rFonts w:ascii="仿宋_GB2312" w:eastAsia="仿宋_GB2312"/>
          <w:kern w:val="2"/>
          <w:sz w:val="28"/>
        </w:rPr>
        <w:t>学位课程的教学计划、教学方法、</w:t>
      </w:r>
      <w:r>
        <w:rPr>
          <w:rFonts w:hint="eastAsia" w:ascii="仿宋_GB2312" w:eastAsia="仿宋_GB2312"/>
          <w:kern w:val="2"/>
          <w:sz w:val="28"/>
        </w:rPr>
        <w:t>课时数、</w:t>
      </w:r>
      <w:r>
        <w:rPr>
          <w:rFonts w:ascii="仿宋_GB2312" w:eastAsia="仿宋_GB2312"/>
          <w:kern w:val="2"/>
          <w:sz w:val="28"/>
        </w:rPr>
        <w:t>教材及教学管理模式</w:t>
      </w:r>
      <w:r>
        <w:rPr>
          <w:rFonts w:hint="eastAsia" w:ascii="仿宋_GB2312" w:eastAsia="仿宋_GB2312"/>
          <w:kern w:val="2"/>
          <w:sz w:val="28"/>
        </w:rPr>
        <w:t>进行安排和实施；</w:t>
      </w:r>
    </w:p>
    <w:p>
      <w:pPr>
        <w:pStyle w:val="7"/>
        <w:spacing w:before="0" w:beforeAutospacing="0" w:after="0" w:afterAutospacing="0"/>
        <w:ind w:firstLine="560" w:firstLineChars="200"/>
        <w:rPr>
          <w:rFonts w:hint="eastAsia" w:ascii="仿宋_GB2312" w:eastAsia="仿宋_GB2312"/>
          <w:kern w:val="2"/>
          <w:sz w:val="28"/>
        </w:rPr>
      </w:pPr>
      <w:r>
        <w:rPr>
          <w:rFonts w:hint="eastAsia" w:ascii="仿宋_GB2312" w:eastAsia="仿宋_GB2312"/>
          <w:kern w:val="2"/>
          <w:sz w:val="28"/>
        </w:rPr>
        <w:t>2、</w:t>
      </w:r>
      <w:r>
        <w:rPr>
          <w:rFonts w:ascii="仿宋_GB2312" w:eastAsia="仿宋_GB2312"/>
          <w:kern w:val="2"/>
          <w:sz w:val="28"/>
        </w:rPr>
        <w:t>课程全部由美大学资深教授主讲</w:t>
      </w:r>
      <w:r>
        <w:rPr>
          <w:rFonts w:hint="eastAsia" w:ascii="仿宋_GB2312" w:eastAsia="仿宋_GB2312"/>
          <w:kern w:val="2"/>
          <w:sz w:val="28"/>
        </w:rPr>
        <w:t>；</w:t>
      </w:r>
    </w:p>
    <w:p>
      <w:pPr>
        <w:pStyle w:val="7"/>
        <w:spacing w:before="0" w:beforeAutospacing="0" w:after="0" w:afterAutospacing="0"/>
        <w:ind w:firstLine="560" w:firstLineChars="200"/>
        <w:rPr>
          <w:rFonts w:ascii="仿宋_GB2312" w:eastAsia="仿宋_GB2312"/>
          <w:kern w:val="2"/>
          <w:sz w:val="28"/>
        </w:rPr>
      </w:pPr>
      <w:r>
        <w:rPr>
          <w:rFonts w:hint="eastAsia" w:ascii="仿宋_GB2312" w:eastAsia="仿宋_GB2312"/>
          <w:kern w:val="2"/>
          <w:sz w:val="28"/>
        </w:rPr>
        <w:t>3、考试</w:t>
      </w:r>
      <w:r>
        <w:rPr>
          <w:rFonts w:hint="eastAsia" w:ascii="仿宋_GB2312" w:eastAsia="仿宋_GB2312"/>
          <w:kern w:val="2"/>
          <w:sz w:val="28"/>
          <w:lang w:val="en-US" w:eastAsia="zh-CN"/>
        </w:rPr>
        <w:t>主要</w:t>
      </w:r>
      <w:r>
        <w:rPr>
          <w:rFonts w:ascii="仿宋_GB2312" w:eastAsia="仿宋_GB2312"/>
          <w:kern w:val="2"/>
          <w:sz w:val="28"/>
        </w:rPr>
        <w:t>采用</w:t>
      </w:r>
      <w:r>
        <w:rPr>
          <w:rFonts w:hint="eastAsia" w:ascii="仿宋_GB2312" w:eastAsia="仿宋_GB2312"/>
          <w:kern w:val="2"/>
          <w:sz w:val="28"/>
        </w:rPr>
        <w:t>课堂考试</w:t>
      </w:r>
      <w:r>
        <w:rPr>
          <w:rFonts w:hint="eastAsia" w:ascii="仿宋_GB2312" w:eastAsia="仿宋_GB2312"/>
          <w:kern w:val="2"/>
          <w:sz w:val="28"/>
          <w:lang w:eastAsia="zh-CN"/>
        </w:rPr>
        <w:t>，</w:t>
      </w:r>
      <w:r>
        <w:rPr>
          <w:rFonts w:hint="eastAsia" w:ascii="仿宋_GB2312" w:eastAsia="仿宋_GB2312"/>
          <w:kern w:val="2"/>
          <w:sz w:val="28"/>
          <w:lang w:val="en-US" w:eastAsia="zh-CN"/>
        </w:rPr>
        <w:t>也有以</w:t>
      </w:r>
      <w:r>
        <w:rPr>
          <w:rFonts w:ascii="仿宋_GB2312" w:eastAsia="仿宋_GB2312"/>
          <w:kern w:val="2"/>
          <w:sz w:val="28"/>
        </w:rPr>
        <w:t>小组案例分析和完成指定研究文章的方式</w:t>
      </w:r>
      <w:r>
        <w:rPr>
          <w:rFonts w:hint="eastAsia" w:ascii="仿宋_GB2312" w:eastAsia="仿宋_GB2312"/>
          <w:kern w:val="2"/>
          <w:sz w:val="28"/>
        </w:rPr>
        <w:t>进行。</w:t>
      </w:r>
    </w:p>
    <w:p>
      <w:pPr>
        <w:pStyle w:val="7"/>
        <w:spacing w:before="0" w:beforeAutospacing="0" w:after="0" w:afterAutospacing="0"/>
        <w:ind w:firstLine="413" w:firstLineChars="147"/>
        <w:textAlignment w:val="baseline"/>
        <w:rPr>
          <w:rFonts w:hint="eastAsia" w:ascii="仿宋_GB2312" w:eastAsia="仿宋_GB2312"/>
          <w:b/>
          <w:sz w:val="28"/>
        </w:rPr>
      </w:pPr>
      <w:r>
        <w:rPr>
          <w:rFonts w:hint="eastAsia" w:ascii="仿宋_GB2312" w:eastAsia="仿宋_GB2312"/>
          <w:b/>
          <w:sz w:val="28"/>
        </w:rPr>
        <w:t>（六）组织管理</w:t>
      </w:r>
    </w:p>
    <w:p>
      <w:pPr>
        <w:pStyle w:val="7"/>
        <w:spacing w:before="0" w:beforeAutospacing="0" w:after="0" w:afterAutospacing="0"/>
        <w:ind w:firstLine="560" w:firstLineChars="200"/>
        <w:textAlignment w:val="baseline"/>
        <w:rPr>
          <w:rFonts w:hint="eastAsia" w:ascii="仿宋_GB2312" w:eastAsia="仿宋_GB2312"/>
          <w:kern w:val="2"/>
          <w:sz w:val="28"/>
        </w:rPr>
      </w:pPr>
      <w:r>
        <w:rPr>
          <w:rFonts w:hint="eastAsia" w:ascii="仿宋_GB2312" w:eastAsia="仿宋_GB2312"/>
          <w:kern w:val="2"/>
          <w:sz w:val="28"/>
        </w:rPr>
        <w:t>1、学员留学期间要严格遵守美国法律法规及校方学籍管理的相关规定；</w:t>
      </w:r>
    </w:p>
    <w:p>
      <w:pPr>
        <w:pStyle w:val="7"/>
        <w:spacing w:before="0" w:beforeAutospacing="0" w:after="0" w:afterAutospacing="0"/>
        <w:ind w:firstLine="560" w:firstLineChars="200"/>
        <w:textAlignment w:val="baseline"/>
        <w:rPr>
          <w:rFonts w:hint="eastAsia" w:ascii="仿宋_GB2312" w:eastAsia="仿宋_GB2312"/>
          <w:kern w:val="2"/>
          <w:sz w:val="28"/>
        </w:rPr>
      </w:pPr>
      <w:r>
        <w:rPr>
          <w:rFonts w:hint="eastAsia" w:ascii="仿宋_GB2312" w:eastAsia="仿宋_GB2312"/>
          <w:kern w:val="2"/>
          <w:sz w:val="28"/>
        </w:rPr>
        <w:t>2、学员在国内</w:t>
      </w:r>
      <w:r>
        <w:rPr>
          <w:rFonts w:hint="eastAsia" w:ascii="仿宋_GB2312" w:eastAsia="仿宋_GB2312"/>
          <w:sz w:val="28"/>
        </w:rPr>
        <w:t>英语强化培训及预培训</w:t>
      </w:r>
      <w:r>
        <w:rPr>
          <w:rFonts w:hint="eastAsia" w:ascii="仿宋_GB2312" w:eastAsia="仿宋_GB2312"/>
          <w:kern w:val="2"/>
          <w:sz w:val="28"/>
        </w:rPr>
        <w:t>和国外学习期间，成立班委会，具体负责内部服务管理、对外联络协调和定期汇报沟通情况等工作；</w:t>
      </w:r>
    </w:p>
    <w:p>
      <w:pPr>
        <w:pStyle w:val="7"/>
        <w:spacing w:before="0" w:beforeAutospacing="0" w:after="0" w:afterAutospacing="0"/>
        <w:ind w:firstLine="560" w:firstLineChars="200"/>
        <w:textAlignment w:val="baseline"/>
        <w:rPr>
          <w:rFonts w:hint="eastAsia" w:ascii="仿宋_GB2312" w:eastAsia="仿宋_GB2312"/>
          <w:sz w:val="28"/>
        </w:rPr>
      </w:pPr>
      <w:r>
        <w:rPr>
          <w:rFonts w:hint="eastAsia" w:ascii="仿宋_GB2312" w:eastAsia="仿宋_GB2312"/>
          <w:kern w:val="2"/>
          <w:sz w:val="28"/>
        </w:rPr>
        <w:t>3、学员</w:t>
      </w:r>
      <w:r>
        <w:rPr>
          <w:rFonts w:hint="eastAsia" w:ascii="仿宋_GB2312" w:eastAsia="仿宋_GB2312"/>
          <w:sz w:val="28"/>
        </w:rPr>
        <w:t>毕业时由美国密苏里州立大学颁发工商管理硕士（MBA）学位证书；</w:t>
      </w:r>
    </w:p>
    <w:p>
      <w:pPr>
        <w:pStyle w:val="7"/>
        <w:spacing w:before="0" w:beforeAutospacing="0" w:after="0" w:afterAutospacing="0"/>
        <w:ind w:firstLine="560" w:firstLineChars="200"/>
        <w:textAlignment w:val="baseline"/>
        <w:rPr>
          <w:rFonts w:hint="eastAsia" w:ascii="仿宋_GB2312" w:eastAsia="仿宋_GB2312"/>
          <w:sz w:val="28"/>
        </w:rPr>
      </w:pPr>
      <w:r>
        <w:rPr>
          <w:rFonts w:hint="eastAsia" w:ascii="仿宋_GB2312" w:eastAsia="仿宋_GB2312"/>
          <w:kern w:val="2"/>
          <w:sz w:val="28"/>
        </w:rPr>
        <w:t>4、学员学成回国后，可到中国教育部留学服务中心办理</w:t>
      </w:r>
      <w:r>
        <w:rPr>
          <w:rFonts w:hint="eastAsia" w:ascii="仿宋_GB2312" w:eastAsia="仿宋_GB2312"/>
          <w:sz w:val="28"/>
          <w:szCs w:val="28"/>
        </w:rPr>
        <w:t>国外学位学历认证</w:t>
      </w:r>
      <w:r>
        <w:rPr>
          <w:rFonts w:hint="eastAsia" w:ascii="仿宋_GB2312" w:eastAsia="仿宋_GB2312"/>
          <w:kern w:val="2"/>
          <w:sz w:val="28"/>
        </w:rPr>
        <w:t>，按国家相关规定享受海外留学归国人员待遇；</w:t>
      </w:r>
    </w:p>
    <w:p>
      <w:pPr>
        <w:pStyle w:val="7"/>
        <w:spacing w:before="0" w:beforeAutospacing="0" w:after="0" w:afterAutospacing="0"/>
        <w:ind w:firstLine="560" w:firstLineChars="200"/>
        <w:textAlignment w:val="baseline"/>
        <w:rPr>
          <w:rFonts w:hint="eastAsia" w:ascii="仿宋_GB2312" w:eastAsia="仿宋_GB2312"/>
          <w:kern w:val="2"/>
          <w:sz w:val="28"/>
        </w:rPr>
      </w:pPr>
      <w:r>
        <w:rPr>
          <w:rFonts w:hint="eastAsia" w:ascii="仿宋_GB2312" w:eastAsia="仿宋_GB2312"/>
          <w:kern w:val="2"/>
          <w:sz w:val="28"/>
        </w:rPr>
        <w:t>5、学员完成学业后必须及时返回中国</w:t>
      </w:r>
      <w:r>
        <w:rPr>
          <w:rFonts w:ascii="仿宋_GB2312" w:eastAsia="仿宋_GB2312"/>
          <w:kern w:val="2"/>
          <w:sz w:val="28"/>
        </w:rPr>
        <w:t>。</w:t>
      </w:r>
    </w:p>
    <w:p>
      <w:pPr>
        <w:ind w:firstLine="413" w:firstLineChars="147"/>
        <w:textAlignment w:val="baseline"/>
        <w:rPr>
          <w:rFonts w:hint="eastAsia" w:ascii="仿宋_GB2312" w:hAnsi="宋体" w:eastAsia="仿宋_GB2312"/>
          <w:b/>
          <w:kern w:val="0"/>
          <w:sz w:val="28"/>
        </w:rPr>
      </w:pPr>
      <w:r>
        <w:rPr>
          <w:rFonts w:hint="eastAsia" w:ascii="仿宋_GB2312" w:hAnsi="宋体" w:eastAsia="仿宋_GB2312"/>
          <w:b/>
          <w:kern w:val="0"/>
          <w:sz w:val="28"/>
        </w:rPr>
        <w:t>（七）费用标准及缴费办法</w:t>
      </w:r>
    </w:p>
    <w:p>
      <w:pPr>
        <w:ind w:firstLine="562" w:firstLineChars="200"/>
        <w:textAlignment w:val="baseline"/>
        <w:rPr>
          <w:rFonts w:hint="eastAsia" w:ascii="仿宋_GB2312" w:eastAsia="仿宋_GB2312"/>
          <w:sz w:val="28"/>
        </w:rPr>
      </w:pPr>
      <w:r>
        <w:rPr>
          <w:rFonts w:hint="eastAsia" w:ascii="仿宋_GB2312" w:eastAsia="仿宋_GB2312"/>
          <w:b/>
          <w:sz w:val="28"/>
        </w:rPr>
        <w:t>A、费用标准</w:t>
      </w:r>
    </w:p>
    <w:p>
      <w:pPr>
        <w:ind w:firstLine="560" w:firstLineChars="200"/>
        <w:textAlignment w:val="baseline"/>
        <w:rPr>
          <w:rFonts w:hint="eastAsia" w:ascii="仿宋_GB2312" w:eastAsia="仿宋_GB2312"/>
          <w:sz w:val="28"/>
        </w:rPr>
      </w:pPr>
      <w:r>
        <w:rPr>
          <w:rFonts w:hint="eastAsia" w:ascii="仿宋_GB2312" w:eastAsia="仿宋_GB2312"/>
          <w:sz w:val="28"/>
        </w:rPr>
        <w:t>1、国内费用</w:t>
      </w:r>
    </w:p>
    <w:p>
      <w:pPr>
        <w:ind w:firstLine="420" w:firstLineChars="150"/>
        <w:textAlignment w:val="baseline"/>
        <w:rPr>
          <w:rFonts w:hint="eastAsia" w:ascii="仿宋_GB2312" w:eastAsia="仿宋_GB2312"/>
          <w:sz w:val="28"/>
        </w:rPr>
      </w:pPr>
      <w:r>
        <w:rPr>
          <w:rFonts w:hint="eastAsia" w:ascii="仿宋_GB2312" w:eastAsia="仿宋_GB2312"/>
          <w:sz w:val="28"/>
        </w:rPr>
        <w:t>（1）国内综合服务费：7400元人民币（包括：申请材料审验、跨境邮寄费、签证申请费、出国前预培训费、集体赴机场交通费等）；</w:t>
      </w:r>
    </w:p>
    <w:p>
      <w:pPr>
        <w:ind w:firstLine="420" w:firstLineChars="150"/>
        <w:textAlignment w:val="baseline"/>
        <w:rPr>
          <w:rFonts w:hint="eastAsia" w:ascii="仿宋_GB2312" w:eastAsia="仿宋_GB2312"/>
          <w:sz w:val="28"/>
        </w:rPr>
      </w:pPr>
      <w:r>
        <w:rPr>
          <w:rFonts w:hint="eastAsia" w:ascii="仿宋_GB2312" w:eastAsia="仿宋_GB2312"/>
          <w:sz w:val="28"/>
        </w:rPr>
        <w:t>（2）美国签证学生及交流访问学者信息系统（SEVIS）费:约180美元；</w:t>
      </w:r>
    </w:p>
    <w:p>
      <w:pPr>
        <w:ind w:firstLine="420" w:firstLineChars="150"/>
        <w:textAlignment w:val="baseline"/>
        <w:rPr>
          <w:rFonts w:hint="eastAsia" w:ascii="仿宋_GB2312" w:eastAsia="仿宋_GB2312"/>
          <w:sz w:val="28"/>
        </w:rPr>
      </w:pPr>
      <w:r>
        <w:rPr>
          <w:rFonts w:hint="eastAsia" w:ascii="仿宋_GB2312" w:eastAsia="仿宋_GB2312"/>
          <w:sz w:val="28"/>
        </w:rPr>
        <w:t>（3）出国前英语强化培训：具体安排和相关费用见中总协后续通知。</w:t>
      </w:r>
    </w:p>
    <w:p>
      <w:pPr>
        <w:ind w:firstLine="548" w:firstLineChars="196"/>
        <w:textAlignment w:val="baseline"/>
        <w:rPr>
          <w:rFonts w:hint="eastAsia" w:ascii="仿宋_GB2312" w:eastAsia="仿宋_GB2312"/>
          <w:sz w:val="28"/>
        </w:rPr>
      </w:pPr>
      <w:r>
        <w:rPr>
          <w:rFonts w:hint="eastAsia" w:ascii="仿宋_GB2312" w:eastAsia="仿宋_GB2312"/>
          <w:sz w:val="28"/>
        </w:rPr>
        <w:t>2、境外费用</w:t>
      </w:r>
    </w:p>
    <w:p>
      <w:pPr>
        <w:ind w:firstLine="420" w:firstLineChars="150"/>
        <w:textAlignment w:val="baseline"/>
        <w:rPr>
          <w:rFonts w:hint="eastAsia" w:ascii="仿宋_GB2312" w:eastAsia="仿宋_GB2312"/>
          <w:sz w:val="28"/>
        </w:rPr>
      </w:pPr>
      <w:r>
        <w:rPr>
          <w:rFonts w:hint="eastAsia" w:ascii="仿宋_GB2312" w:eastAsia="仿宋_GB2312"/>
          <w:sz w:val="28"/>
        </w:rPr>
        <w:t xml:space="preserve">（1）研究生入学申请费： </w:t>
      </w:r>
      <w:r>
        <w:rPr>
          <w:rFonts w:hint="eastAsia" w:ascii="仿宋_GB2312" w:eastAsia="仿宋_GB2312"/>
          <w:color w:val="auto"/>
          <w:sz w:val="28"/>
          <w:u w:val="none"/>
        </w:rPr>
        <w:t>130美元</w:t>
      </w:r>
    </w:p>
    <w:p>
      <w:pPr>
        <w:ind w:firstLine="420" w:firstLineChars="150"/>
        <w:textAlignment w:val="baseline"/>
        <w:rPr>
          <w:rFonts w:hint="eastAsia" w:ascii="仿宋_GB2312" w:eastAsia="仿宋_GB2312"/>
          <w:sz w:val="28"/>
        </w:rPr>
      </w:pPr>
      <w:r>
        <w:rPr>
          <w:rFonts w:hint="eastAsia" w:ascii="仿宋_GB2312" w:eastAsia="仿宋_GB2312"/>
          <w:sz w:val="28"/>
        </w:rPr>
        <w:t>（2）学费及学杂费：</w:t>
      </w:r>
      <w:r>
        <w:rPr>
          <w:rFonts w:hint="eastAsia" w:ascii="仿宋_GB2312" w:eastAsia="仿宋_GB2312"/>
          <w:color w:val="FF0000"/>
          <w:sz w:val="28"/>
          <w:u w:val="none"/>
        </w:rPr>
        <w:t xml:space="preserve"> </w:t>
      </w:r>
      <w:r>
        <w:rPr>
          <w:rFonts w:hint="eastAsia" w:ascii="仿宋_GB2312" w:eastAsia="仿宋_GB2312"/>
          <w:color w:val="auto"/>
          <w:sz w:val="28"/>
          <w:u w:val="none"/>
        </w:rPr>
        <w:t>3</w:t>
      </w:r>
      <w:r>
        <w:rPr>
          <w:rFonts w:hint="eastAsia" w:ascii="仿宋_GB2312" w:eastAsia="仿宋_GB2312"/>
          <w:color w:val="auto"/>
          <w:sz w:val="28"/>
          <w:u w:val="none"/>
          <w:lang w:val="en-US" w:eastAsia="zh-CN"/>
        </w:rPr>
        <w:t>3500</w:t>
      </w:r>
      <w:r>
        <w:rPr>
          <w:rFonts w:hint="eastAsia" w:ascii="仿宋_GB2312" w:eastAsia="仿宋_GB2312"/>
          <w:color w:val="auto"/>
          <w:sz w:val="28"/>
          <w:u w:val="none"/>
        </w:rPr>
        <w:t>美元（201</w:t>
      </w:r>
      <w:r>
        <w:rPr>
          <w:rFonts w:hint="eastAsia" w:ascii="仿宋_GB2312" w:eastAsia="仿宋_GB2312"/>
          <w:color w:val="auto"/>
          <w:sz w:val="28"/>
          <w:u w:val="none"/>
          <w:lang w:val="en-US" w:eastAsia="zh-CN"/>
        </w:rPr>
        <w:t>9</w:t>
      </w:r>
      <w:r>
        <w:rPr>
          <w:rFonts w:hint="eastAsia" w:ascii="仿宋_GB2312" w:eastAsia="仿宋_GB2312"/>
          <w:color w:val="auto"/>
          <w:sz w:val="28"/>
          <w:u w:val="none"/>
        </w:rPr>
        <w:t>年秋季班）</w:t>
      </w:r>
    </w:p>
    <w:p>
      <w:pPr>
        <w:ind w:firstLine="420" w:firstLineChars="150"/>
        <w:textAlignment w:val="baseline"/>
        <w:rPr>
          <w:rFonts w:hint="eastAsia" w:ascii="仿宋_GB2312" w:eastAsia="仿宋_GB2312"/>
          <w:sz w:val="28"/>
          <w:u w:val="single"/>
          <w:lang w:eastAsia="zh-CN"/>
        </w:rPr>
      </w:pPr>
      <w:r>
        <w:rPr>
          <w:rFonts w:hint="eastAsia" w:ascii="仿宋_GB2312" w:eastAsia="仿宋_GB2312"/>
          <w:sz w:val="28"/>
        </w:rPr>
        <w:t>（3）国际学生医疗保险费：</w:t>
      </w:r>
      <w:r>
        <w:rPr>
          <w:rFonts w:hint="eastAsia" w:ascii="仿宋_GB2312" w:eastAsia="仿宋_GB2312"/>
          <w:color w:val="auto"/>
          <w:sz w:val="28"/>
          <w:u w:val="none"/>
        </w:rPr>
        <w:t>13</w:t>
      </w:r>
      <w:r>
        <w:rPr>
          <w:rFonts w:hint="eastAsia" w:ascii="仿宋_GB2312" w:eastAsia="仿宋_GB2312"/>
          <w:color w:val="auto"/>
          <w:sz w:val="28"/>
          <w:u w:val="none"/>
          <w:lang w:val="en-US" w:eastAsia="zh-CN"/>
        </w:rPr>
        <w:t>7</w:t>
      </w:r>
      <w:r>
        <w:rPr>
          <w:rFonts w:hint="eastAsia" w:ascii="仿宋_GB2312" w:eastAsia="仿宋_GB2312"/>
          <w:color w:val="auto"/>
          <w:sz w:val="28"/>
          <w:u w:val="none"/>
        </w:rPr>
        <w:t>4美元</w:t>
      </w:r>
    </w:p>
    <w:p>
      <w:pPr>
        <w:ind w:firstLine="420" w:firstLineChars="150"/>
        <w:textAlignment w:val="baseline"/>
        <w:rPr>
          <w:rFonts w:hint="eastAsia" w:ascii="仿宋_GB2312" w:eastAsia="仿宋_GB2312"/>
          <w:sz w:val="28"/>
        </w:rPr>
      </w:pPr>
      <w:r>
        <w:rPr>
          <w:rFonts w:hint="eastAsia" w:ascii="仿宋_GB2312" w:eastAsia="仿宋_GB2312"/>
          <w:sz w:val="28"/>
        </w:rPr>
        <w:t>（4）国际汇款中间银行扣费：约35美元</w:t>
      </w:r>
    </w:p>
    <w:p>
      <w:pPr>
        <w:ind w:firstLine="420" w:firstLineChars="150"/>
        <w:textAlignment w:val="baseline"/>
        <w:rPr>
          <w:rFonts w:hint="eastAsia" w:ascii="仿宋_GB2312" w:eastAsia="仿宋_GB2312"/>
          <w:sz w:val="28"/>
        </w:rPr>
      </w:pPr>
      <w:r>
        <w:rPr>
          <w:rFonts w:hint="eastAsia" w:ascii="仿宋_GB2312" w:eastAsia="仿宋_GB2312"/>
          <w:sz w:val="28"/>
        </w:rPr>
        <w:t>（5）书费：学员自行掌握，约500-1000美元（取决于新书旧书等）</w:t>
      </w:r>
    </w:p>
    <w:p>
      <w:pPr>
        <w:ind w:firstLine="420" w:firstLineChars="150"/>
        <w:textAlignment w:val="baseline"/>
        <w:rPr>
          <w:rFonts w:hint="eastAsia" w:ascii="仿宋_GB2312" w:eastAsia="仿宋_GB2312"/>
          <w:sz w:val="28"/>
        </w:rPr>
      </w:pPr>
      <w:r>
        <w:rPr>
          <w:rFonts w:hint="eastAsia" w:ascii="仿宋_GB2312" w:eastAsia="仿宋_GB2312"/>
          <w:sz w:val="28"/>
        </w:rPr>
        <w:t>（6）生活费：学员自行掌握，全年约6500-8000美元</w:t>
      </w:r>
    </w:p>
    <w:p>
      <w:pPr>
        <w:ind w:firstLine="560" w:firstLineChars="200"/>
        <w:textAlignment w:val="baseline"/>
        <w:rPr>
          <w:rFonts w:hint="eastAsia" w:ascii="仿宋_GB2312" w:eastAsia="仿宋_GB2312"/>
          <w:sz w:val="28"/>
        </w:rPr>
      </w:pPr>
      <w:r>
        <w:rPr>
          <w:rFonts w:hint="eastAsia" w:ascii="仿宋_GB2312" w:eastAsia="仿宋_GB2312"/>
          <w:sz w:val="28"/>
        </w:rPr>
        <w:t>3、国际旅费（机票费用）</w:t>
      </w:r>
    </w:p>
    <w:p>
      <w:pPr>
        <w:ind w:firstLine="560" w:firstLineChars="200"/>
        <w:textAlignment w:val="baseline"/>
        <w:rPr>
          <w:rFonts w:hint="eastAsia" w:ascii="仿宋_GB2312" w:eastAsia="仿宋_GB2312"/>
          <w:sz w:val="28"/>
        </w:rPr>
      </w:pPr>
      <w:r>
        <w:rPr>
          <w:rFonts w:hint="eastAsia" w:ascii="仿宋_GB2312" w:eastAsia="仿宋_GB2312"/>
          <w:sz w:val="28"/>
        </w:rPr>
        <w:t>出发前按实际票价缴纳（向票务公司直接缴纳，具体事宜见中总协后续通知,</w:t>
      </w:r>
      <w:r>
        <w:rPr>
          <w:rFonts w:hint="eastAsia" w:ascii="仿宋_GB2312" w:eastAsia="仿宋_GB2312"/>
          <w:color w:val="auto"/>
          <w:sz w:val="28"/>
        </w:rPr>
        <w:t>201</w:t>
      </w:r>
      <w:r>
        <w:rPr>
          <w:rFonts w:hint="eastAsia" w:ascii="仿宋_GB2312" w:eastAsia="仿宋_GB2312"/>
          <w:color w:val="auto"/>
          <w:sz w:val="28"/>
          <w:lang w:val="en-US" w:eastAsia="zh-CN"/>
        </w:rPr>
        <w:t>8</w:t>
      </w:r>
      <w:r>
        <w:rPr>
          <w:rFonts w:hint="eastAsia" w:ascii="仿宋_GB2312" w:eastAsia="仿宋_GB2312"/>
          <w:color w:val="auto"/>
          <w:sz w:val="28"/>
        </w:rPr>
        <w:t>年含税价为</w:t>
      </w:r>
      <w:r>
        <w:rPr>
          <w:rFonts w:hint="eastAsia" w:ascii="仿宋_GB2312" w:eastAsia="仿宋_GB2312"/>
          <w:color w:val="auto"/>
          <w:sz w:val="28"/>
          <w:lang w:val="en-US" w:eastAsia="zh-CN"/>
        </w:rPr>
        <w:t>8767</w:t>
      </w:r>
      <w:r>
        <w:rPr>
          <w:rFonts w:hint="eastAsia" w:ascii="仿宋_GB2312" w:eastAsia="仿宋_GB2312"/>
          <w:color w:val="auto"/>
          <w:sz w:val="28"/>
        </w:rPr>
        <w:t>元人民币</w:t>
      </w:r>
      <w:r>
        <w:rPr>
          <w:rFonts w:hint="eastAsia" w:ascii="仿宋_GB2312" w:eastAsia="仿宋_GB2312"/>
          <w:sz w:val="28"/>
        </w:rPr>
        <w:t>）。</w:t>
      </w:r>
    </w:p>
    <w:p>
      <w:pPr>
        <w:tabs>
          <w:tab w:val="left" w:pos="3555"/>
        </w:tabs>
        <w:ind w:firstLine="562" w:firstLineChars="200"/>
        <w:textAlignment w:val="baseline"/>
        <w:rPr>
          <w:rFonts w:hint="eastAsia" w:ascii="仿宋_GB2312" w:eastAsia="仿宋_GB2312"/>
          <w:b/>
          <w:sz w:val="28"/>
        </w:rPr>
      </w:pPr>
      <w:r>
        <w:rPr>
          <w:rFonts w:hint="eastAsia" w:ascii="仿宋_GB2312" w:eastAsia="仿宋_GB2312"/>
          <w:b/>
          <w:sz w:val="28"/>
        </w:rPr>
        <w:t>B、缴费方式</w:t>
      </w:r>
    </w:p>
    <w:p>
      <w:pPr>
        <w:ind w:firstLine="560" w:firstLineChars="200"/>
        <w:textAlignment w:val="baseline"/>
        <w:rPr>
          <w:rFonts w:hint="eastAsia" w:ascii="仿宋_GB2312" w:eastAsia="仿宋_GB2312"/>
          <w:sz w:val="28"/>
        </w:rPr>
      </w:pPr>
      <w:r>
        <w:rPr>
          <w:rFonts w:hint="eastAsia" w:ascii="仿宋_GB2312" w:eastAsia="仿宋_GB2312"/>
          <w:sz w:val="28"/>
        </w:rPr>
        <w:t>1、国内综合服务费：7400元人民币，在接到中总协报名确认时汇至中总协指定账户；</w:t>
      </w:r>
    </w:p>
    <w:p>
      <w:pPr>
        <w:pStyle w:val="7"/>
        <w:spacing w:before="0" w:beforeAutospacing="0" w:after="0" w:afterAutospacing="0"/>
        <w:ind w:firstLine="574" w:firstLineChars="205"/>
        <w:textAlignment w:val="baseline"/>
        <w:rPr>
          <w:rFonts w:hint="eastAsia" w:ascii="仿宋_GB2312" w:eastAsia="仿宋_GB2312"/>
          <w:kern w:val="2"/>
          <w:sz w:val="28"/>
        </w:rPr>
      </w:pPr>
      <w:r>
        <w:rPr>
          <w:rFonts w:hint="eastAsia" w:ascii="仿宋_GB2312" w:eastAsia="仿宋_GB2312"/>
          <w:kern w:val="2"/>
          <w:sz w:val="28"/>
        </w:rPr>
        <w:t>2、</w:t>
      </w:r>
      <w:r>
        <w:rPr>
          <w:rFonts w:hint="eastAsia" w:ascii="仿宋_GB2312" w:eastAsia="仿宋_GB2312"/>
          <w:sz w:val="28"/>
        </w:rPr>
        <w:t>SEVIS费：180美元，在美国驻华大使馆网站在线缴纳（具体缴费方式及注意事项见中总协后续通知）；</w:t>
      </w:r>
    </w:p>
    <w:p>
      <w:pPr>
        <w:pStyle w:val="7"/>
        <w:spacing w:before="0" w:beforeAutospacing="0" w:after="0" w:afterAutospacing="0"/>
        <w:textAlignment w:val="baseline"/>
        <w:rPr>
          <w:rFonts w:hint="eastAsia" w:ascii="仿宋_GB2312" w:eastAsia="仿宋_GB2312"/>
          <w:kern w:val="2"/>
          <w:sz w:val="28"/>
        </w:rPr>
      </w:pPr>
      <w:r>
        <w:rPr>
          <w:rFonts w:hint="eastAsia" w:ascii="仿宋_GB2312" w:eastAsia="仿宋_GB2312"/>
          <w:kern w:val="2"/>
          <w:sz w:val="28"/>
        </w:rPr>
        <w:t xml:space="preserve">    3、</w:t>
      </w:r>
      <w:r>
        <w:rPr>
          <w:rFonts w:hint="eastAsia" w:ascii="仿宋_GB2312" w:eastAsia="仿宋_GB2312"/>
          <w:sz w:val="28"/>
        </w:rPr>
        <w:t>出国前英语集中培训费：向承接英语集中培训的单位缴纳。参加过“托福”或“雅思”考试且考试成绩达到79分或6.0的学员可不参加英语培训；</w:t>
      </w:r>
    </w:p>
    <w:p>
      <w:pPr>
        <w:ind w:firstLine="560" w:firstLineChars="200"/>
        <w:textAlignment w:val="baseline"/>
        <w:rPr>
          <w:rFonts w:hint="eastAsia" w:ascii="仿宋_GB2312" w:eastAsia="仿宋_GB2312"/>
          <w:sz w:val="28"/>
        </w:rPr>
      </w:pPr>
      <w:r>
        <w:rPr>
          <w:rFonts w:hint="eastAsia" w:ascii="仿宋_GB2312" w:eastAsia="仿宋_GB2312"/>
          <w:sz w:val="28"/>
        </w:rPr>
        <w:t>4、国际旅费：在获得赴美签证后，按当期国际航班票价缴纳；</w:t>
      </w:r>
    </w:p>
    <w:p>
      <w:pPr>
        <w:pStyle w:val="7"/>
        <w:spacing w:before="0" w:beforeAutospacing="0" w:after="0" w:afterAutospacing="0"/>
        <w:ind w:left="-13" w:leftChars="-6" w:firstLine="560" w:firstLineChars="200"/>
        <w:textAlignment w:val="baseline"/>
        <w:rPr>
          <w:rFonts w:hint="eastAsia" w:ascii="仿宋_GB2312" w:eastAsia="仿宋_GB2312"/>
          <w:kern w:val="2"/>
          <w:sz w:val="28"/>
        </w:rPr>
      </w:pPr>
      <w:r>
        <w:rPr>
          <w:rFonts w:hint="eastAsia" w:ascii="仿宋_GB2312" w:eastAsia="仿宋_GB2312"/>
          <w:kern w:val="2"/>
          <w:sz w:val="28"/>
        </w:rPr>
        <w:t>5、研究生申请费、学费和医疗保险费：拿到签证、赴美前二周汇至</w:t>
      </w:r>
      <w:r>
        <w:rPr>
          <w:rFonts w:hint="eastAsia" w:ascii="仿宋_GB2312" w:eastAsia="仿宋_GB2312"/>
          <w:color w:val="333333"/>
          <w:sz w:val="28"/>
          <w:szCs w:val="28"/>
        </w:rPr>
        <w:t>美国密苏里州立大学指定</w:t>
      </w:r>
      <w:r>
        <w:rPr>
          <w:rFonts w:hint="eastAsia" w:ascii="仿宋_GB2312" w:eastAsia="仿宋_GB2312"/>
          <w:kern w:val="2"/>
          <w:sz w:val="28"/>
        </w:rPr>
        <w:t>账户；并请将汇款凭证提供给</w:t>
      </w:r>
      <w:r>
        <w:rPr>
          <w:rFonts w:hint="eastAsia" w:ascii="仿宋_GB2312" w:eastAsia="仿宋_GB2312"/>
          <w:sz w:val="28"/>
        </w:rPr>
        <w:t>中总协（注：学员负责电汇费用以及国外中间银行电汇扣费）</w:t>
      </w:r>
      <w:r>
        <w:rPr>
          <w:rFonts w:hint="eastAsia" w:ascii="仿宋_GB2312" w:eastAsia="仿宋_GB2312"/>
          <w:kern w:val="2"/>
          <w:sz w:val="28"/>
        </w:rPr>
        <w:t>。</w:t>
      </w:r>
    </w:p>
    <w:p>
      <w:pPr>
        <w:pStyle w:val="7"/>
        <w:spacing w:before="0" w:beforeAutospacing="0" w:after="0" w:afterAutospacing="0" w:line="580" w:lineRule="exact"/>
        <w:ind w:left="2" w:leftChars="1" w:firstLine="537" w:firstLineChars="192"/>
        <w:textAlignment w:val="baseline"/>
        <w:rPr>
          <w:rFonts w:hint="eastAsia" w:ascii="仿宋_GB2312" w:eastAsia="仿宋_GB2312"/>
          <w:kern w:val="2"/>
          <w:sz w:val="28"/>
        </w:rPr>
      </w:pPr>
      <w:r>
        <w:rPr>
          <w:rFonts w:hint="eastAsia" w:ascii="仿宋_GB2312" w:eastAsia="仿宋_GB2312"/>
          <w:sz w:val="28"/>
        </w:rPr>
        <w:t>进入签证申请阶段后，报名参训人员如因本人或所在单位原因退出的，预收的费用将在扣除已发生的费用后返还。</w:t>
      </w:r>
    </w:p>
    <w:p>
      <w:pPr>
        <w:spacing w:line="580" w:lineRule="exact"/>
        <w:ind w:left="562"/>
        <w:textAlignment w:val="baseline"/>
        <w:rPr>
          <w:rFonts w:hint="eastAsia" w:ascii="仿宋_GB2312" w:eastAsia="仿宋_GB2312"/>
          <w:b/>
          <w:sz w:val="28"/>
        </w:rPr>
      </w:pPr>
      <w:r>
        <w:rPr>
          <w:rFonts w:hint="eastAsia" w:ascii="仿宋_GB2312" w:eastAsia="仿宋_GB2312"/>
          <w:b/>
          <w:sz w:val="28"/>
        </w:rPr>
        <w:t>三、联系方式</w:t>
      </w:r>
    </w:p>
    <w:p>
      <w:pPr>
        <w:spacing w:line="580" w:lineRule="exact"/>
        <w:ind w:firstLine="560" w:firstLineChars="200"/>
        <w:textAlignment w:val="baseline"/>
        <w:rPr>
          <w:rFonts w:hint="eastAsia" w:ascii="仿宋_GB2312" w:eastAsia="仿宋_GB2312"/>
          <w:sz w:val="28"/>
        </w:rPr>
      </w:pPr>
      <w:r>
        <w:rPr>
          <w:rFonts w:hint="eastAsia" w:ascii="仿宋_GB2312" w:eastAsia="仿宋_GB2312"/>
          <w:sz w:val="28"/>
        </w:rPr>
        <w:t>单  位：中国总会计师协会培训部</w:t>
      </w:r>
    </w:p>
    <w:p>
      <w:pPr>
        <w:spacing w:line="580" w:lineRule="exact"/>
        <w:ind w:firstLine="560" w:firstLineChars="200"/>
        <w:textAlignment w:val="baseline"/>
        <w:rPr>
          <w:rFonts w:hint="eastAsia" w:ascii="仿宋_GB2312" w:eastAsia="仿宋_GB2312"/>
          <w:sz w:val="28"/>
        </w:rPr>
      </w:pPr>
      <w:r>
        <w:rPr>
          <w:rFonts w:hint="eastAsia" w:ascii="仿宋_GB2312" w:eastAsia="仿宋_GB2312"/>
          <w:sz w:val="28"/>
        </w:rPr>
        <w:t>地  址：北京市海淀区阜成路甲28号 新知大厦18</w:t>
      </w:r>
      <w:r>
        <w:rPr>
          <w:rFonts w:hint="eastAsia" w:ascii="仿宋_GB2312" w:eastAsia="仿宋_GB2312"/>
          <w:sz w:val="28"/>
          <w:lang w:val="en-US" w:eastAsia="zh-CN"/>
        </w:rPr>
        <w:t>33</w:t>
      </w:r>
      <w:r>
        <w:rPr>
          <w:rFonts w:hint="eastAsia" w:ascii="仿宋_GB2312" w:eastAsia="仿宋_GB2312"/>
          <w:sz w:val="28"/>
        </w:rPr>
        <w:t>室</w:t>
      </w:r>
    </w:p>
    <w:p>
      <w:pPr>
        <w:spacing w:line="580" w:lineRule="exact"/>
        <w:ind w:firstLine="560" w:firstLineChars="200"/>
        <w:textAlignment w:val="baseline"/>
        <w:rPr>
          <w:rFonts w:hint="eastAsia" w:ascii="仿宋_GB2312" w:eastAsia="仿宋_GB2312"/>
          <w:sz w:val="28"/>
        </w:rPr>
      </w:pPr>
      <w:r>
        <w:rPr>
          <w:rFonts w:hint="eastAsia" w:ascii="仿宋_GB2312" w:eastAsia="仿宋_GB2312"/>
          <w:sz w:val="28"/>
        </w:rPr>
        <w:t>邮  编：100142</w:t>
      </w:r>
    </w:p>
    <w:p>
      <w:pPr>
        <w:spacing w:line="580" w:lineRule="exact"/>
        <w:ind w:firstLine="560" w:firstLineChars="200"/>
        <w:textAlignment w:val="baseline"/>
        <w:rPr>
          <w:rFonts w:hint="eastAsia" w:ascii="仿宋_GB2312" w:eastAsia="仿宋_GB2312"/>
          <w:sz w:val="28"/>
        </w:rPr>
      </w:pPr>
      <w:r>
        <w:rPr>
          <w:rFonts w:hint="eastAsia" w:ascii="仿宋_GB2312" w:eastAsia="仿宋_GB2312"/>
          <w:sz w:val="28"/>
        </w:rPr>
        <w:t>联系人：桑立强、叶婷婷</w:t>
      </w:r>
    </w:p>
    <w:p>
      <w:pPr>
        <w:spacing w:line="580" w:lineRule="exact"/>
        <w:ind w:firstLine="560" w:firstLineChars="200"/>
        <w:textAlignment w:val="baseline"/>
        <w:rPr>
          <w:rFonts w:hint="eastAsia" w:ascii="仿宋_GB2312" w:eastAsia="仿宋_GB2312"/>
          <w:sz w:val="28"/>
        </w:rPr>
      </w:pPr>
      <w:r>
        <w:rPr>
          <w:rFonts w:hint="eastAsia" w:ascii="仿宋_GB2312" w:eastAsia="仿宋_GB2312"/>
          <w:sz w:val="28"/>
        </w:rPr>
        <w:t>电  话：010-88191832，88191866</w:t>
      </w:r>
    </w:p>
    <w:p>
      <w:pPr>
        <w:spacing w:line="580" w:lineRule="exact"/>
        <w:ind w:firstLine="560" w:firstLineChars="200"/>
        <w:textAlignment w:val="baseline"/>
        <w:rPr>
          <w:rFonts w:hint="eastAsia" w:ascii="仿宋_GB2312" w:eastAsia="仿宋_GB2312"/>
          <w:sz w:val="28"/>
        </w:rPr>
      </w:pPr>
      <w:r>
        <w:rPr>
          <w:rFonts w:hint="eastAsia" w:ascii="仿宋_GB2312" w:eastAsia="仿宋_GB2312"/>
          <w:sz w:val="28"/>
        </w:rPr>
        <w:t>传  真：010-88191832，88191866</w:t>
      </w:r>
    </w:p>
    <w:p>
      <w:pPr>
        <w:spacing w:line="580" w:lineRule="exact"/>
        <w:ind w:firstLine="560" w:firstLineChars="200"/>
        <w:textAlignment w:val="baseline"/>
        <w:rPr>
          <w:rFonts w:ascii="仿宋_GB2312" w:eastAsia="仿宋_GB2312"/>
          <w:sz w:val="28"/>
        </w:rPr>
      </w:pPr>
      <w:r>
        <w:rPr>
          <w:rFonts w:hint="eastAsia" w:ascii="仿宋_GB2312" w:eastAsia="仿宋_GB2312"/>
          <w:sz w:val="28"/>
        </w:rPr>
        <w:t xml:space="preserve">电子邮箱：peixun@cacfo.com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73527"/>
    <w:rsid w:val="4D773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rPr>
  </w:style>
  <w:style w:type="paragraph" w:styleId="3">
    <w:name w:val="Normal (Web)"/>
    <w:basedOn w:val="1"/>
    <w:uiPriority w:val="0"/>
    <w:pPr>
      <w:widowControl/>
      <w:spacing w:before="100" w:beforeLines="0" w:beforeAutospacing="1" w:after="100" w:afterLines="0" w:afterAutospacing="1"/>
      <w:jc w:val="left"/>
    </w:pPr>
    <w:rPr>
      <w:kern w:val="0"/>
      <w:sz w:val="24"/>
    </w:rPr>
  </w:style>
  <w:style w:type="character" w:styleId="5">
    <w:name w:val="page number"/>
    <w:basedOn w:val="4"/>
    <w:uiPriority w:val="0"/>
  </w:style>
  <w:style w:type="paragraph" w:customStyle="1" w:styleId="7">
    <w:name w:val="notetitle"/>
    <w:basedOn w:val="1"/>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2019-02-20T01:08:00Z</dcterms:created>
  <dc:creator>桑立强</dc:creator>
  <cp:lastModifiedBy>桑立强</cp:lastModifiedBy>
  <dcterms:modified xsi:type="dcterms:W3CDTF">2019-02-20T01:09:32Z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