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left="-425" w:leftChars="-203" w:right="-483" w:rightChars="-230" w:hanging="1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>附件</w:t>
      </w:r>
      <w:r>
        <w:rPr>
          <w:rFonts w:ascii="仿宋_GB2312" w:hAnsi="宋体" w:eastAsia="仿宋_GB2312" w:cs="仿宋"/>
          <w:sz w:val="30"/>
          <w:szCs w:val="30"/>
        </w:rPr>
        <w:t>1</w:t>
      </w:r>
      <w:r>
        <w:rPr>
          <w:rFonts w:hint="eastAsia" w:ascii="仿宋_GB2312" w:hAnsi="宋体" w:eastAsia="仿宋_GB2312" w:cs="仿宋"/>
          <w:sz w:val="30"/>
          <w:szCs w:val="30"/>
        </w:rPr>
        <w:t>：</w:t>
      </w:r>
    </w:p>
    <w:p>
      <w:pPr>
        <w:spacing w:line="500" w:lineRule="exact"/>
        <w:ind w:left="-425" w:leftChars="-203" w:right="-483" w:rightChars="-230" w:hanging="1"/>
        <w:jc w:val="center"/>
        <w:rPr>
          <w:rFonts w:cs="黑体"/>
          <w:b/>
          <w:bCs/>
          <w:kern w:val="10"/>
          <w:sz w:val="36"/>
          <w:szCs w:val="36"/>
        </w:rPr>
      </w:pPr>
      <w:r>
        <w:rPr>
          <w:rFonts w:hint="eastAsia" w:cs="黑体"/>
          <w:b/>
          <w:bCs/>
          <w:kern w:val="10"/>
          <w:sz w:val="36"/>
          <w:szCs w:val="36"/>
        </w:rPr>
        <w:t>“数字智能时代财务转型、管理会计创新</w:t>
      </w:r>
    </w:p>
    <w:p>
      <w:pPr>
        <w:spacing w:line="420" w:lineRule="exact"/>
        <w:ind w:left="-425" w:leftChars="-203" w:right="-483" w:rightChars="-230" w:hanging="1"/>
        <w:jc w:val="center"/>
        <w:rPr>
          <w:rFonts w:ascii="宋体" w:hAnsi="宋体" w:cs="黑体"/>
          <w:b/>
          <w:bCs/>
          <w:kern w:val="10"/>
          <w:sz w:val="36"/>
          <w:szCs w:val="36"/>
        </w:rPr>
      </w:pPr>
      <w:r>
        <w:rPr>
          <w:rFonts w:hint="eastAsia" w:cs="黑体"/>
          <w:b/>
          <w:bCs/>
          <w:kern w:val="10"/>
          <w:sz w:val="36"/>
          <w:szCs w:val="36"/>
        </w:rPr>
        <w:t>与财务共享”</w:t>
      </w:r>
      <w:r>
        <w:rPr>
          <w:rFonts w:hint="eastAsia" w:ascii="宋体" w:hAnsi="宋体" w:cs="黑体"/>
          <w:b/>
          <w:bCs/>
          <w:kern w:val="10"/>
          <w:sz w:val="36"/>
          <w:szCs w:val="36"/>
        </w:rPr>
        <w:t>专题研讨活动</w:t>
      </w:r>
      <w:r>
        <w:rPr>
          <w:rFonts w:hint="eastAsia" w:ascii="宋体" w:hAnsi="宋体" w:cs="仿宋"/>
          <w:b/>
          <w:sz w:val="36"/>
          <w:szCs w:val="36"/>
        </w:rPr>
        <w:t>工作方案</w:t>
      </w:r>
    </w:p>
    <w:p>
      <w:pPr>
        <w:spacing w:before="468" w:beforeLines="150" w:line="42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主办单位：中国总会计师协会</w:t>
      </w:r>
    </w:p>
    <w:p>
      <w:pPr>
        <w:spacing w:after="156" w:afterLines="50" w:line="42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承办单位：《中国总会计师》杂志社</w:t>
      </w:r>
    </w:p>
    <w:p>
      <w:pPr>
        <w:widowControl/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一、时间地点</w:t>
      </w:r>
    </w:p>
    <w:p>
      <w:pPr>
        <w:spacing w:line="440" w:lineRule="exact"/>
        <w:ind w:left="-425" w:leftChars="-203" w:right="-483" w:rightChars="-230" w:hanging="1"/>
        <w:rPr>
          <w:rFonts w:ascii="仿宋_GB2312" w:hAnsi="宋体" w:eastAsia="仿宋_GB2312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专题一：数字智能时代财务转型、业财融合与财务管控</w:t>
      </w:r>
    </w:p>
    <w:p>
      <w:pPr>
        <w:spacing w:line="440" w:lineRule="exact"/>
        <w:ind w:left="-425" w:leftChars="-203" w:right="-483" w:rightChars="-230" w:hanging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</w:t>
      </w:r>
      <w:r>
        <w:rPr>
          <w:rFonts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</w:rPr>
        <w:t>9年7月16日</w:t>
      </w:r>
      <w:r>
        <w:rPr>
          <w:rFonts w:ascii="仿宋" w:hAnsi="仿宋" w:eastAsia="仿宋" w:cs="仿宋"/>
          <w:sz w:val="30"/>
          <w:szCs w:val="30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20日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地点：北京市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专题二: 预算、成本与新时代管理会计框架体系及其创新实践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时间：2019年8月18日—22日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地点：哈尔滨市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专题三: 数字智能时代的财务共享中心建设、运营与提升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时间：2019年9月22日—26日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地点：北京市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（具体地址开会前十天见报到通知）</w:t>
      </w:r>
    </w:p>
    <w:p>
      <w:pPr>
        <w:spacing w:line="120" w:lineRule="exact"/>
        <w:ind w:left="-425" w:leftChars="-203" w:right="-483" w:rightChars="-230" w:hanging="1"/>
        <w:rPr>
          <w:rFonts w:ascii="仿宋_GB2312" w:hAnsi="宋体" w:eastAsia="仿宋_GB2312" w:cs="仿宋"/>
          <w:sz w:val="30"/>
          <w:szCs w:val="30"/>
        </w:rPr>
      </w:pPr>
    </w:p>
    <w:p>
      <w:pPr>
        <w:pStyle w:val="6"/>
        <w:numPr>
          <w:ilvl w:val="0"/>
          <w:numId w:val="1"/>
        </w:numPr>
        <w:spacing w:line="440" w:lineRule="exact"/>
        <w:ind w:right="-483" w:rightChars="-230" w:firstLineChars="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参会对象</w:t>
      </w:r>
    </w:p>
    <w:p>
      <w:pPr>
        <w:spacing w:line="440" w:lineRule="exact"/>
        <w:ind w:left="-425" w:leftChars="-203" w:right="-483" w:rightChars="-230" w:hanging="1"/>
        <w:rPr>
          <w:rFonts w:ascii="仿宋_GB2312" w:hAnsi="宋体" w:eastAsia="仿宋_GB2312" w:cs="仿宋"/>
          <w:b/>
          <w:bCs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政府机关、企事业单位总会计师、财务总监、首席财务官、财务部门负责人；财务和税务经理、主管等；财务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会计共享服务中心相关负责人、信息化负责人、人力资源部负责人；财会、税务、审计人员，投资分析与研究人员等；投资部、证券部相关负责人等；中国总会计师协会会员、会计师事务所</w:t>
      </w:r>
      <w:r>
        <w:rPr>
          <w:rFonts w:ascii="仿宋" w:hAnsi="仿宋" w:eastAsia="仿宋" w:cs="仿宋"/>
          <w:sz w:val="30"/>
          <w:szCs w:val="30"/>
        </w:rPr>
        <w:t>CPA</w:t>
      </w:r>
      <w:r>
        <w:rPr>
          <w:rFonts w:hint="eastAsia" w:ascii="仿宋" w:hAnsi="仿宋" w:eastAsia="仿宋" w:cs="仿宋"/>
          <w:sz w:val="30"/>
          <w:szCs w:val="30"/>
        </w:rPr>
        <w:t>、咨询师；金融行业金融分析师、风险控制师；大中专院校会计专业教师；需要加强会计知识学习和提升的各单位主要负责人等</w:t>
      </w:r>
    </w:p>
    <w:p>
      <w:pPr>
        <w:spacing w:line="120" w:lineRule="exact"/>
        <w:ind w:left="-425" w:leftChars="-203" w:right="-483" w:rightChars="-230" w:hanging="1"/>
        <w:rPr>
          <w:rFonts w:ascii="仿宋_GB2312" w:hAnsi="宋体" w:eastAsia="仿宋_GB2312" w:cs="仿宋"/>
          <w:sz w:val="30"/>
          <w:szCs w:val="30"/>
        </w:rPr>
      </w:pP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三、研讨内容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专题一：数字</w:t>
      </w:r>
      <w:r>
        <w:rPr>
          <w:rFonts w:hint="eastAsia" w:ascii="仿宋" w:hAnsi="仿宋" w:eastAsia="仿宋" w:cs="仿宋"/>
          <w:b/>
          <w:sz w:val="30"/>
          <w:szCs w:val="30"/>
        </w:rPr>
        <w:t>智能时代财务转型、业财融合与财务管控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（一）数字智能时代的财务转型</w:t>
      </w:r>
    </w:p>
    <w:p>
      <w:pPr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1、财务转型的方向</w:t>
      </w:r>
    </w:p>
    <w:p>
      <w:pPr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财务转型设计框架与大财务理念；从关注报表生成到关注管理决策需求；从核算型财务走向业务型财务与战略型财务；从关注资金的流动性走向资金的投融资运作与战略层面的司库管理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2、管理会计+信息化，推动财务管理转型</w:t>
      </w:r>
    </w:p>
    <w:p>
      <w:pPr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“互联网</w:t>
      </w:r>
      <w:r>
        <w:rPr>
          <w:rFonts w:ascii="仿宋" w:hAnsi="仿宋" w:eastAsia="仿宋" w:cs="仿宋"/>
          <w:sz w:val="30"/>
          <w:szCs w:val="30"/>
        </w:rPr>
        <w:t>+</w:t>
      </w:r>
      <w:r>
        <w:rPr>
          <w:rFonts w:hint="eastAsia" w:ascii="仿宋" w:hAnsi="仿宋" w:eastAsia="仿宋" w:cs="仿宋"/>
          <w:sz w:val="30"/>
          <w:szCs w:val="30"/>
        </w:rPr>
        <w:t>”对管理会计体系的冲击和融合；大数据、云计算等新技术与管理会计的关系；全面整合企业信息、真正实现业财一体化的管理会计信息系统；预测、计划预算、报告一体化的信息化平台的搭建与利用；财务分析与绩效考核在管理会计软件平台上的实现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（二）智能财务建设与财务转型</w:t>
      </w:r>
    </w:p>
    <w:p>
      <w:pPr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信息化助力财务体系数字化与智能化；财务信息化发展与财务大数据价值；大数据时代组织变革与管理创新；智能财务项目规划、建设过程与难点以及若干案例分析；管理会计智能化展望；智能财务与大数据最佳实施案例；大数据应用前沿</w:t>
      </w:r>
    </w:p>
    <w:p>
      <w:pPr>
        <w:widowControl/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（三）财务转型与财务共享服务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b/>
          <w:bCs/>
          <w:sz w:val="30"/>
          <w:szCs w:val="30"/>
        </w:rPr>
        <w:t xml:space="preserve"> </w:t>
      </w: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以共享服务为基础的财务转型，共享服务中心的建设、运营与提升</w:t>
      </w:r>
    </w:p>
    <w:p>
      <w:pPr>
        <w:widowControl/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（四）财务转型的能力素质要求与提升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财务组织从核算型转向管理决策型组织；财务人员从核算型人才转向决策支持与执行人员；财务管理如何适应财务体系数字化和智能化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、数字智能背景下的业财融合：从“管控型”走向“价值引领型”</w:t>
      </w:r>
    </w:p>
    <w:p>
      <w:pPr>
        <w:pStyle w:val="7"/>
        <w:spacing w:line="400" w:lineRule="exact"/>
        <w:ind w:left="-426" w:leftChars="-203" w:right="-483" w:rightChars="-230" w:firstLine="426" w:firstLineChars="142"/>
        <w:rPr>
          <w:rFonts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经营分析支持决策领域业财融合（盈利能力分析，营运能力分析，现金流分析与周转率，业务预测、分析，成本管理和优化，成本控制创造价值）</w:t>
      </w:r>
    </w:p>
    <w:p>
      <w:pPr>
        <w:pStyle w:val="7"/>
        <w:spacing w:line="400" w:lineRule="exact"/>
        <w:ind w:left="-426" w:leftChars="-203" w:right="-483" w:rightChars="-230" w:firstLine="426" w:firstLineChars="142"/>
        <w:rPr>
          <w:rFonts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资源配置预测监控业财融合（预算的预算编制、控制、分解与执行，预算监控、考核和激励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合规与风险控制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）</w:t>
      </w:r>
    </w:p>
    <w:p>
      <w:pPr>
        <w:pStyle w:val="7"/>
        <w:spacing w:line="400" w:lineRule="exact"/>
        <w:ind w:left="-426" w:leftChars="-203" w:right="-483" w:rightChars="-230" w:firstLine="426" w:firstLineChars="142"/>
        <w:rPr>
          <w:rFonts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绩效管理领域实现业财融合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企业绩效管理指标体系的类型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平衡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计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分卡在企业绩效管理中的应用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）</w:t>
      </w:r>
    </w:p>
    <w:p>
      <w:pPr>
        <w:pStyle w:val="7"/>
        <w:spacing w:line="400" w:lineRule="exact"/>
        <w:ind w:left="-426" w:leftChars="-203" w:right="-483" w:rightChars="-230" w:firstLine="426" w:firstLineChars="142"/>
        <w:rPr>
          <w:rFonts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引领企业发展领域实现业财融合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前瞻性的业务规划与财务预测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财务从“管控型”走向“引领型”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发现价值领域，引领价值导向的文化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，</w:t>
      </w:r>
      <w:r>
        <w:rPr>
          <w:rFonts w:ascii="仿宋" w:hAnsi="仿宋" w:eastAsia="仿宋" w:cs="仿宋"/>
          <w:color w:val="auto"/>
          <w:kern w:val="2"/>
          <w:sz w:val="30"/>
          <w:szCs w:val="30"/>
        </w:rPr>
        <w:t>利用财务资源，创新经营模式以提升业务绩效）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4、</w:t>
      </w:r>
      <w:r>
        <w:rPr>
          <w:rFonts w:hint="eastAsia" w:ascii="仿宋" w:hAnsi="仿宋" w:eastAsia="仿宋" w:cs="仿宋"/>
          <w:b/>
          <w:sz w:val="32"/>
          <w:szCs w:val="32"/>
        </w:rPr>
        <w:t>转型时代的</w:t>
      </w:r>
      <w:r>
        <w:rPr>
          <w:rFonts w:hint="eastAsia" w:ascii="仿宋" w:hAnsi="仿宋" w:eastAsia="仿宋" w:cs="黑体"/>
          <w:b/>
          <w:kern w:val="10"/>
          <w:sz w:val="32"/>
          <w:szCs w:val="32"/>
        </w:rPr>
        <w:t>财务管控与优化</w:t>
      </w:r>
    </w:p>
    <w:p>
      <w:pPr>
        <w:spacing w:line="460" w:lineRule="exact"/>
        <w:ind w:left="-426" w:leftChars="-203"/>
        <w:jc w:val="left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 xml:space="preserve">    集团财务管控思路与转型方向；</w:t>
      </w:r>
      <w:r>
        <w:rPr>
          <w:rFonts w:hint="eastAsia" w:ascii="仿宋" w:hAnsi="仿宋" w:eastAsia="仿宋" w:cs="仿宋"/>
          <w:bCs/>
          <w:sz w:val="30"/>
          <w:szCs w:val="30"/>
        </w:rPr>
        <w:t>财务、战略、业务与集团管控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集团预算、考核与报告系统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集团财务信息系统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集团资金、资产、投融资、成本、费用等管控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集团公司内部交易设计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集团财务管控体系的实施策略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专题二：预算、成本与新时代管理会计框架体系及其创新实践</w:t>
      </w:r>
    </w:p>
    <w:p>
      <w:pPr>
        <w:pStyle w:val="7"/>
        <w:spacing w:line="460" w:lineRule="exact"/>
        <w:ind w:left="-426" w:leftChars="-203" w:right="-57" w:rightChars="-27"/>
        <w:rPr>
          <w:rFonts w:ascii="仿宋" w:hAnsi="仿宋" w:eastAsia="仿宋" w:cs="仿宋"/>
          <w:b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kern w:val="2"/>
          <w:sz w:val="30"/>
          <w:szCs w:val="30"/>
        </w:rPr>
        <w:t>1、</w:t>
      </w:r>
      <w:r>
        <w:rPr>
          <w:rFonts w:ascii="仿宋" w:hAnsi="仿宋" w:eastAsia="仿宋" w:cs="仿宋"/>
          <w:b/>
          <w:color w:val="auto"/>
          <w:kern w:val="2"/>
          <w:sz w:val="30"/>
          <w:szCs w:val="30"/>
        </w:rPr>
        <w:t>全面预算管理体系及其信息化</w:t>
      </w:r>
    </w:p>
    <w:p>
      <w:pPr>
        <w:pStyle w:val="7"/>
        <w:spacing w:line="460" w:lineRule="exact"/>
        <w:ind w:left="-426" w:leftChars="-203" w:right="-57" w:rightChars="-27"/>
        <w:rPr>
          <w:rFonts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   预算作为计划与控制系统在企业应用中的关键节点，不同部门在预算管理体系中的职责定位；通过预算管理体系实现业务运营管控的有效机制，以及在不同业务和不同企业应用的方式；预算管理与信息化</w:t>
      </w:r>
    </w:p>
    <w:p>
      <w:pPr>
        <w:pStyle w:val="7"/>
        <w:spacing w:line="460" w:lineRule="exact"/>
        <w:ind w:left="-426" w:leftChars="-203" w:right="-57" w:rightChars="-27"/>
        <w:rPr>
          <w:rFonts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kern w:val="2"/>
          <w:sz w:val="30"/>
          <w:szCs w:val="30"/>
        </w:rPr>
        <w:t>2、成本分析与决策管理</w:t>
      </w:r>
    </w:p>
    <w:p>
      <w:pPr>
        <w:pStyle w:val="2"/>
        <w:spacing w:before="0" w:beforeAutospacing="0" w:after="0" w:afterAutospacing="0" w:line="460" w:lineRule="exact"/>
        <w:ind w:left="-426" w:leftChars="-203"/>
        <w:textAlignment w:val="center"/>
        <w:rPr>
          <w:rFonts w:ascii="仿宋" w:hAnsi="仿宋" w:eastAsia="仿宋" w:cs="仿宋"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</w:rPr>
        <w:t xml:space="preserve">    商业环境变革，传统成本管理困境，现代企业成本管理理论框架，企业战略定位，企业内外部价值链分析，结构性成本动因，执行性成本动因，本量利分析，作业成本——产品和作业分析，目标成本——以市场和客户为导向，供应链成本和供应商管理</w:t>
      </w:r>
    </w:p>
    <w:p>
      <w:pPr>
        <w:pStyle w:val="7"/>
        <w:spacing w:line="460" w:lineRule="exact"/>
        <w:ind w:left="-426" w:leftChars="-203" w:right="-57" w:rightChars="-27"/>
        <w:rPr>
          <w:rFonts w:ascii="仿宋" w:hAnsi="仿宋" w:eastAsia="仿宋" w:cs="仿宋"/>
          <w:b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kern w:val="2"/>
          <w:sz w:val="30"/>
          <w:szCs w:val="30"/>
        </w:rPr>
        <w:t>3、管理会计框架体系及其创新实践</w:t>
      </w:r>
    </w:p>
    <w:p>
      <w:pPr>
        <w:pStyle w:val="7"/>
        <w:spacing w:line="460" w:lineRule="exact"/>
        <w:ind w:left="-426" w:leftChars="-203" w:right="-57" w:rightChars="-27" w:firstLine="282" w:firstLineChars="94"/>
        <w:rPr>
          <w:rFonts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 </w:t>
      </w:r>
      <w:r>
        <w:rPr>
          <w:rFonts w:ascii="仿宋" w:hAnsi="仿宋" w:eastAsia="仿宋" w:cs="仿宋"/>
          <w:bCs/>
          <w:color w:val="auto"/>
          <w:kern w:val="2"/>
          <w:sz w:val="30"/>
          <w:szCs w:val="30"/>
        </w:rPr>
        <w:t>管理会计定位，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管理会计与</w:t>
      </w:r>
      <w:r>
        <w:rPr>
          <w:rFonts w:ascii="仿宋" w:hAnsi="仿宋" w:eastAsia="仿宋" w:cs="仿宋"/>
          <w:bCs/>
          <w:color w:val="auto"/>
          <w:kern w:val="2"/>
          <w:sz w:val="30"/>
          <w:szCs w:val="30"/>
        </w:rPr>
        <w:t>公司价值，构建管理会计体系，战略管理会计、决策管理会计、执行管理会计和评价管理会计的应用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</w:t>
      </w:r>
    </w:p>
    <w:p>
      <w:pPr>
        <w:widowControl/>
        <w:spacing w:line="460" w:lineRule="exact"/>
        <w:ind w:left="-426" w:leftChars="-203" w:right="-57" w:rightChars="-27" w:firstLine="282" w:firstLineChars="94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战略管理案例分享，营运管理、投资管理与管理会计报告案例分享，绩效管理案例分享，风险管理案例分享等</w:t>
      </w:r>
    </w:p>
    <w:p>
      <w:pPr>
        <w:widowControl/>
        <w:spacing w:line="460" w:lineRule="exact"/>
        <w:ind w:left="-426" w:leftChars="-203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管理会计与业财融合——华为、TCL的案例</w:t>
      </w:r>
    </w:p>
    <w:p>
      <w:pPr>
        <w:widowControl/>
        <w:spacing w:line="460" w:lineRule="exact"/>
        <w:ind w:left="-426" w:leftChars="-203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管理会计与信息技术，管理会计与会计人员能力建设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spacing w:line="420" w:lineRule="exact"/>
        <w:ind w:left="-426" w:leftChars="-203" w:right="-483" w:rightChars="-23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专题三：数字智能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时代</w:t>
      </w:r>
      <w:r>
        <w:rPr>
          <w:rFonts w:hint="eastAsia" w:ascii="仿宋" w:hAnsi="仿宋" w:eastAsia="仿宋" w:cs="仿宋"/>
          <w:b/>
          <w:sz w:val="30"/>
          <w:szCs w:val="30"/>
        </w:rPr>
        <w:t>财务共享中心建设、运营与提升</w:t>
      </w:r>
    </w:p>
    <w:p>
      <w:pPr>
        <w:spacing w:line="440" w:lineRule="exact"/>
        <w:ind w:left="-426" w:leftChars="-203" w:right="-483" w:rightChars="-23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1、共享中心发展概述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财务转型与组织变革；财务共享服务的概念与发展；共享服务的适用性问题；共享服务建设中的核心要素；信息系统对共享服务的支撑</w:t>
      </w:r>
    </w:p>
    <w:p>
      <w:pPr>
        <w:spacing w:line="440" w:lineRule="exact"/>
        <w:ind w:left="-426" w:leftChars="-203" w:right="-483" w:rightChars="-23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数字智能时代</w:t>
      </w:r>
      <w:r>
        <w:rPr>
          <w:rFonts w:hint="eastAsia" w:ascii="仿宋" w:hAnsi="仿宋" w:eastAsia="仿宋" w:cs="仿宋"/>
          <w:b/>
          <w:sz w:val="30"/>
          <w:szCs w:val="30"/>
        </w:rPr>
        <w:t>共享中心建设与企业管理转型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重新认识共享中心的意义与价值；现有共享中心的困境与挑战；支持不同战略方向转型的共享中心建设案例</w:t>
      </w:r>
    </w:p>
    <w:p>
      <w:pPr>
        <w:spacing w:line="440" w:lineRule="exact"/>
        <w:ind w:left="-426" w:leftChars="-203" w:right="-483" w:rightChars="-23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数字智能时代</w:t>
      </w:r>
      <w:r>
        <w:rPr>
          <w:rFonts w:hint="eastAsia" w:ascii="仿宋" w:hAnsi="仿宋" w:eastAsia="仿宋" w:cs="仿宋"/>
          <w:b/>
          <w:sz w:val="30"/>
          <w:szCs w:val="30"/>
        </w:rPr>
        <w:t>财务共享服务中心的建设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财务共享中心的战略结构、战略职能、流程；财务共享中心组织的定位、组织架构变化；财务共享中心人员安排；财务共享中心的地位及主要工作；</w:t>
      </w:r>
      <w:r>
        <w:rPr>
          <w:rFonts w:ascii="仿宋" w:hAnsi="仿宋" w:eastAsia="仿宋" w:cs="仿宋"/>
          <w:sz w:val="30"/>
          <w:szCs w:val="30"/>
        </w:rPr>
        <w:t>IT</w:t>
      </w:r>
      <w:r>
        <w:rPr>
          <w:rFonts w:hint="eastAsia" w:ascii="仿宋" w:hAnsi="仿宋" w:eastAsia="仿宋" w:cs="仿宋"/>
          <w:sz w:val="30"/>
          <w:szCs w:val="30"/>
        </w:rPr>
        <w:t>应用系统的选型；财务共享中心的核心工作</w:t>
      </w:r>
    </w:p>
    <w:p>
      <w:pPr>
        <w:spacing w:line="440" w:lineRule="exact"/>
        <w:ind w:left="-426" w:leftChars="-203" w:right="-483" w:rightChars="-23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数字智能时代</w:t>
      </w:r>
      <w:r>
        <w:rPr>
          <w:rFonts w:hint="eastAsia" w:ascii="仿宋" w:hAnsi="仿宋" w:eastAsia="仿宋" w:cs="仿宋"/>
          <w:b/>
          <w:sz w:val="30"/>
          <w:szCs w:val="30"/>
        </w:rPr>
        <w:t>财务共享服务中心的运营管理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共享中心在企业管理中的定位；共享中心团队的绩效问题；共享中心人员的职业发展问题；财务共享服务中心的运营管理的案例分析；集团共享中心的衍生价值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5、财务转型基于共享服务平台的打造</w:t>
      </w:r>
    </w:p>
    <w:p>
      <w:pPr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财务共享服务与集团信息化、管理会计的关系；管理会计导向的财务共享服务中心建设框架设计；财务共享未来发展方向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数字智能时代财务共享服务中心如何提升</w:t>
      </w:r>
    </w:p>
    <w:p>
      <w:pPr>
        <w:widowControl/>
        <w:spacing w:line="440" w:lineRule="exact"/>
        <w:ind w:left="-426" w:leftChars="-203" w:right="-483" w:rightChars="-230" w:firstLine="56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智能化背景下财务共享服务未来发展趋势；自动化、智能化在财务共享服务中心的应用；典型案例分析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7、以财务共享中心为基础构建企业大数据中心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从大数据中心到大数据平台，从数据到数据资产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8、财务共享服务中心如何发挥司库的部分职能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财务共享服务中心如何发挥司库的部分职能；司库在企业集团财务管理中的角色定位；司库运行流程与体系建设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snapToGrid w:val="0"/>
        <w:spacing w:line="400" w:lineRule="exact"/>
        <w:ind w:left="-426" w:leftChars="-203" w:right="-483" w:rightChars="-230"/>
        <w:rPr>
          <w:rFonts w:ascii="仿宋" w:hAnsi="仿宋" w:eastAsia="仿宋" w:cs="Arial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kern w:val="0"/>
          <w:sz w:val="30"/>
          <w:szCs w:val="30"/>
        </w:rPr>
        <w:t>四、师资力量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hint="eastAsia"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政府机关、学院、企业界等具有深厚理论功底和丰富实践经验的专家和教授组成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snapToGrid w:val="0"/>
        <w:spacing w:line="400" w:lineRule="exact"/>
        <w:ind w:left="-426" w:leftChars="-203" w:right="-483" w:rightChars="-23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五、培训费用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收费标准：每期次培训费均为</w:t>
      </w:r>
      <w:r>
        <w:rPr>
          <w:rFonts w:ascii="仿宋" w:hAnsi="仿宋" w:eastAsia="仿宋" w:cs="仿宋"/>
          <w:sz w:val="30"/>
          <w:szCs w:val="30"/>
        </w:rPr>
        <w:t>2900</w:t>
      </w:r>
      <w:r>
        <w:rPr>
          <w:rFonts w:hint="eastAsia" w:ascii="仿宋" w:hAnsi="仿宋" w:eastAsia="仿宋" w:cs="仿宋"/>
          <w:sz w:val="30"/>
          <w:szCs w:val="30"/>
        </w:rPr>
        <w:t>元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包括专家授课费、资料费、教学场租设备费等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。住宿和用餐统一安排，费用自理；交通费用自理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snapToGrid w:val="0"/>
        <w:spacing w:line="400" w:lineRule="exact"/>
        <w:ind w:left="-426" w:leftChars="-203" w:right="-483" w:rightChars="-23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六、培训证书</w:t>
      </w:r>
    </w:p>
    <w:p>
      <w:pPr>
        <w:widowControl/>
        <w:spacing w:line="440" w:lineRule="exact"/>
        <w:ind w:left="-426" w:leftChars="-203" w:right="-483" w:rightChars="-230" w:firstLine="52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培训班学习期满，完成教学计划规定的全部课程，由中国总会计师协会颁发《财务岗位培训证书》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widowControl/>
        <w:spacing w:line="440" w:lineRule="exact"/>
        <w:ind w:left="-426" w:leftChars="-203" w:right="-483" w:rightChars="-230"/>
        <w:jc w:val="lef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七、其他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研讨培训将根据情况安排到企业现场参观交流，欢迎推荐或自荐！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spacing w:line="440" w:lineRule="exact"/>
        <w:ind w:left="-426" w:leftChars="-203" w:right="-483" w:rightChars="-23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八、报名联系方式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联系人：崔老师</w:t>
      </w:r>
      <w:r>
        <w:rPr>
          <w:rFonts w:ascii="仿宋" w:hAnsi="仿宋" w:eastAsia="仿宋" w:cs="仿宋"/>
          <w:sz w:val="30"/>
          <w:szCs w:val="30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电话：</w:t>
      </w:r>
      <w:r>
        <w:rPr>
          <w:rFonts w:ascii="仿宋" w:hAnsi="仿宋" w:eastAsia="仿宋" w:cs="仿宋"/>
          <w:sz w:val="30"/>
          <w:szCs w:val="30"/>
        </w:rPr>
        <w:t>010-</w:t>
      </w:r>
      <w:r>
        <w:rPr>
          <w:rFonts w:hint="eastAsia" w:ascii="仿宋" w:hAnsi="仿宋" w:eastAsia="仿宋" w:cs="仿宋"/>
          <w:sz w:val="30"/>
          <w:szCs w:val="30"/>
        </w:rPr>
        <w:t>63381767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传真：</w:t>
      </w:r>
      <w:r>
        <w:rPr>
          <w:rFonts w:ascii="仿宋" w:hAnsi="仿宋" w:eastAsia="仿宋" w:cs="仿宋"/>
          <w:sz w:val="30"/>
          <w:szCs w:val="30"/>
        </w:rPr>
        <w:t>010-</w:t>
      </w:r>
      <w:r>
        <w:rPr>
          <w:rFonts w:hint="eastAsia" w:ascii="仿宋" w:hAnsi="仿宋" w:eastAsia="仿宋" w:cs="仿宋"/>
          <w:sz w:val="30"/>
          <w:szCs w:val="30"/>
        </w:rPr>
        <w:t>63381780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"mailto:cfo@cmcfo.cn"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5"/>
          <w:rFonts w:hint="eastAsia" w:ascii="仿宋" w:hAnsi="仿宋" w:eastAsia="仿宋" w:cs="仿宋"/>
          <w:sz w:val="30"/>
          <w:szCs w:val="30"/>
        </w:rPr>
        <w:t>cfo</w:t>
      </w:r>
      <w:r>
        <w:rPr>
          <w:rStyle w:val="5"/>
          <w:rFonts w:ascii="仿宋" w:hAnsi="仿宋" w:eastAsia="仿宋" w:cs="仿宋"/>
          <w:sz w:val="30"/>
          <w:szCs w:val="30"/>
        </w:rPr>
        <w:t>@</w:t>
      </w:r>
      <w:r>
        <w:rPr>
          <w:rStyle w:val="5"/>
          <w:rFonts w:hint="eastAsia" w:ascii="仿宋" w:hAnsi="仿宋" w:eastAsia="仿宋" w:cs="仿宋"/>
          <w:sz w:val="30"/>
          <w:szCs w:val="30"/>
        </w:rPr>
        <w:t>cmcfo</w:t>
      </w:r>
      <w:r>
        <w:rPr>
          <w:rStyle w:val="5"/>
          <w:rFonts w:ascii="仿宋" w:hAnsi="仿宋" w:eastAsia="仿宋" w:cs="仿宋"/>
          <w:sz w:val="30"/>
          <w:szCs w:val="30"/>
        </w:rPr>
        <w:t>.c</w:t>
      </w:r>
      <w:r>
        <w:rPr>
          <w:rStyle w:val="5"/>
          <w:rFonts w:hint="eastAsia" w:ascii="仿宋" w:hAnsi="仿宋" w:eastAsia="仿宋" w:cs="仿宋"/>
          <w:sz w:val="30"/>
          <w:szCs w:val="30"/>
        </w:rPr>
        <w:t>n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A92"/>
    <w:multiLevelType w:val="multilevel"/>
    <w:tmpl w:val="4F355A92"/>
    <w:lvl w:ilvl="0" w:tentative="0">
      <w:start w:val="2"/>
      <w:numFmt w:val="japaneseCounting"/>
      <w:lvlText w:val="%1、"/>
      <w:lvlJc w:val="left"/>
      <w:pPr>
        <w:ind w:left="294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534" w:hanging="480"/>
      </w:pPr>
    </w:lvl>
    <w:lvl w:ilvl="2" w:tentative="0">
      <w:start w:val="1"/>
      <w:numFmt w:val="lowerRoman"/>
      <w:lvlText w:val="%3."/>
      <w:lvlJc w:val="right"/>
      <w:pPr>
        <w:ind w:left="1014" w:hanging="480"/>
      </w:pPr>
    </w:lvl>
    <w:lvl w:ilvl="3" w:tentative="0">
      <w:start w:val="1"/>
      <w:numFmt w:val="decimal"/>
      <w:lvlText w:val="%4."/>
      <w:lvlJc w:val="left"/>
      <w:pPr>
        <w:ind w:left="1494" w:hanging="480"/>
      </w:pPr>
    </w:lvl>
    <w:lvl w:ilvl="4" w:tentative="0">
      <w:start w:val="1"/>
      <w:numFmt w:val="lowerLetter"/>
      <w:lvlText w:val="%5)"/>
      <w:lvlJc w:val="left"/>
      <w:pPr>
        <w:ind w:left="1974" w:hanging="480"/>
      </w:pPr>
    </w:lvl>
    <w:lvl w:ilvl="5" w:tentative="0">
      <w:start w:val="1"/>
      <w:numFmt w:val="lowerRoman"/>
      <w:lvlText w:val="%6."/>
      <w:lvlJc w:val="right"/>
      <w:pPr>
        <w:ind w:left="2454" w:hanging="480"/>
      </w:pPr>
    </w:lvl>
    <w:lvl w:ilvl="6" w:tentative="0">
      <w:start w:val="1"/>
      <w:numFmt w:val="decimal"/>
      <w:lvlText w:val="%7."/>
      <w:lvlJc w:val="left"/>
      <w:pPr>
        <w:ind w:left="2934" w:hanging="480"/>
      </w:pPr>
    </w:lvl>
    <w:lvl w:ilvl="7" w:tentative="0">
      <w:start w:val="1"/>
      <w:numFmt w:val="lowerLetter"/>
      <w:lvlText w:val="%8)"/>
      <w:lvlJc w:val="left"/>
      <w:pPr>
        <w:ind w:left="3414" w:hanging="480"/>
      </w:pPr>
    </w:lvl>
    <w:lvl w:ilvl="8" w:tentative="0">
      <w:start w:val="1"/>
      <w:numFmt w:val="lowerRoman"/>
      <w:lvlText w:val="%9."/>
      <w:lvlJc w:val="right"/>
      <w:pPr>
        <w:ind w:left="389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C4FFC"/>
    <w:rsid w:val="4E7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List Paragraph"/>
    <w:basedOn w:val="1"/>
    <w:uiPriority w:val="99"/>
    <w:pPr>
      <w:ind w:firstLine="420" w:firstLineChars="200"/>
    </w:pPr>
  </w:style>
  <w:style w:type="paragraph" w:customStyle="1" w:styleId="7">
    <w:name w:val="p1"/>
    <w:basedOn w:val="1"/>
    <w:qFormat/>
    <w:uiPriority w:val="0"/>
    <w:pPr>
      <w:widowControl/>
      <w:jc w:val="left"/>
    </w:pPr>
    <w:rPr>
      <w:rFonts w:ascii=".PingFang SC" w:eastAsia=".PingFang SC"/>
      <w:color w:val="454545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2019-05-21T02:20:00Z</dcterms:created>
  <dc:creator>桑立强</dc:creator>
  <cp:lastModifiedBy>桑立强</cp:lastModifiedBy>
  <dcterms:modified xsi:type="dcterms:W3CDTF">2019-05-21T02:21:25Z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