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附件1：</w:t>
      </w:r>
    </w:p>
    <w:p>
      <w:pPr>
        <w:spacing w:line="600" w:lineRule="exact"/>
        <w:jc w:val="center"/>
        <w:rPr>
          <w:rFonts w:hint="eastAsia" w:ascii="宋体" w:hAnsi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2019全国保险公司卓越财会实务专题培训班</w:t>
      </w:r>
    </w:p>
    <w:p>
      <w:pPr>
        <w:spacing w:line="600" w:lineRule="exact"/>
        <w:jc w:val="center"/>
        <w:rPr>
          <w:rFonts w:hint="eastAsia" w:ascii="宋体" w:hAnsi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工   作   方   案</w:t>
      </w:r>
    </w:p>
    <w:p>
      <w:pPr>
        <w:spacing w:line="600" w:lineRule="exact"/>
        <w:ind w:firstLine="201" w:firstLineChars="200"/>
        <w:jc w:val="both"/>
        <w:rPr>
          <w:rFonts w:ascii="宋体" w:hAnsi="宋体" w:cs="宋体"/>
          <w:b/>
          <w:bCs/>
          <w:color w:val="000000"/>
          <w:sz w:val="10"/>
          <w:szCs w:val="10"/>
        </w:rPr>
      </w:pPr>
    </w:p>
    <w:p>
      <w:pPr>
        <w:spacing w:line="600" w:lineRule="exact"/>
        <w:ind w:firstLine="602" w:firstLineChars="200"/>
        <w:jc w:val="both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主管主办单位：中国总会计师协会</w:t>
      </w:r>
    </w:p>
    <w:p>
      <w:pPr>
        <w:spacing w:line="600" w:lineRule="exact"/>
        <w:ind w:firstLine="602" w:firstLineChars="200"/>
        <w:jc w:val="both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委托承办单位：北京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>长训教育科技有限公司</w:t>
      </w:r>
    </w:p>
    <w:p>
      <w:pPr>
        <w:spacing w:line="600" w:lineRule="exact"/>
        <w:ind w:firstLine="602" w:firstLineChars="200"/>
        <w:jc w:val="both"/>
        <w:rPr>
          <w:rFonts w:ascii="仿宋_GB2312" w:hAnsi="仿宋_GB2312" w:eastAsia="仿宋_GB2312" w:cs="仿宋_GB2312"/>
          <w:b/>
          <w:bCs/>
          <w:sz w:val="30"/>
          <w:szCs w:val="30"/>
        </w:rPr>
      </w:pPr>
    </w:p>
    <w:p>
      <w:pPr>
        <w:spacing w:line="600" w:lineRule="exact"/>
        <w:ind w:left="596"/>
        <w:jc w:val="both"/>
        <w:rPr>
          <w:rFonts w:ascii="仿宋_GB2312" w:hAnsi="仿宋_GB2312" w:eastAsia="仿宋_GB2312" w:cs="仿宋_GB2312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shd w:val="clear" w:color="auto" w:fill="FFFFFF"/>
        </w:rPr>
        <w:t>一、培训时间、地点</w:t>
      </w:r>
    </w:p>
    <w:p>
      <w:pPr>
        <w:adjustRightInd w:val="0"/>
        <w:snapToGrid w:val="0"/>
        <w:spacing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第1期  2019年3月22日—25日（22日报到）  上海市 </w:t>
      </w:r>
    </w:p>
    <w:p>
      <w:pPr>
        <w:adjustRightInd w:val="0"/>
        <w:snapToGrid w:val="0"/>
        <w:spacing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第2期  2019年6月14日—17日（14日报到）  成都市</w:t>
      </w:r>
    </w:p>
    <w:p>
      <w:pPr>
        <w:adjustRightInd w:val="0"/>
        <w:snapToGrid w:val="0"/>
        <w:spacing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第3期  2019年8月16日—19日（16日报到）  大连市</w:t>
      </w:r>
    </w:p>
    <w:p>
      <w:pPr>
        <w:adjustRightInd w:val="0"/>
        <w:snapToGrid w:val="0"/>
        <w:spacing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第4期  2019年10月18日—21日（18日报到） 杭州市</w:t>
      </w:r>
    </w:p>
    <w:p>
      <w:pPr>
        <w:adjustRightInd w:val="0"/>
        <w:snapToGrid w:val="0"/>
        <w:spacing w:line="560" w:lineRule="exact"/>
        <w:ind w:firstLine="602" w:firstLineChars="200"/>
        <w:jc w:val="both"/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  <w:t>二、培训师资</w:t>
      </w:r>
    </w:p>
    <w:p>
      <w:pPr>
        <w:adjustRightInd w:val="0"/>
        <w:snapToGrid w:val="0"/>
        <w:spacing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财政部参与准则指定的相关专家，国内外著名保险公司中实战经验丰富的总会计师、首席财务官等，中国财政科学研究院、国家会计学院、知名财经高等院校，四大会计师事务所的权威专家和全国会计领军人才等。</w:t>
      </w:r>
    </w:p>
    <w:p>
      <w:pPr>
        <w:adjustRightInd w:val="0"/>
        <w:snapToGrid w:val="0"/>
        <w:spacing w:line="560" w:lineRule="exact"/>
        <w:ind w:firstLine="602" w:firstLineChars="200"/>
        <w:jc w:val="both"/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  <w:t>三、参训对象</w:t>
      </w:r>
    </w:p>
    <w:p>
      <w:pPr>
        <w:adjustRightInd w:val="0"/>
        <w:snapToGrid w:val="0"/>
        <w:spacing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各保险机构财务负责人及业务骨干。</w:t>
      </w:r>
    </w:p>
    <w:p>
      <w:pPr>
        <w:adjustRightInd w:val="0"/>
        <w:snapToGrid w:val="0"/>
        <w:spacing w:line="600" w:lineRule="exact"/>
        <w:ind w:firstLine="602" w:firstLineChars="200"/>
        <w:jc w:val="both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四、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培训课程</w:t>
      </w:r>
    </w:p>
    <w:p>
      <w:pPr>
        <w:adjustRightInd w:val="0"/>
        <w:snapToGrid w:val="0"/>
        <w:spacing w:line="600" w:lineRule="exact"/>
        <w:ind w:firstLine="602" w:firstLineChars="200"/>
        <w:jc w:val="both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模块一：保险业财会工作改革发展与制度框架解读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 xml:space="preserve">▪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新修订、新发布企业会计准则（14号、16号、21号、22号、23号、24号、37号、42号）实施与应用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 xml:space="preserve">▪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财税体制改革、现代财政制度对保险公司的影响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 xml:space="preserve">▪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IFRS17与IFRS9对保险业经营和监管的影响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 xml:space="preserve">▪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营改增、金税三期对保险业税务管理及筹划的影响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MS Gothic" w:cs="MS Gothic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</w:rPr>
        <w:t>偿</w:t>
      </w:r>
      <w:r>
        <w:rPr>
          <w:rFonts w:hint="eastAsia" w:ascii="仿宋" w:hAnsi="仿宋" w:eastAsia="仿宋" w:cs="MS Gothic"/>
          <w:sz w:val="30"/>
          <w:szCs w:val="30"/>
        </w:rPr>
        <w:t>付能力二期建</w:t>
      </w:r>
      <w:r>
        <w:rPr>
          <w:rFonts w:hint="eastAsia" w:ascii="仿宋" w:hAnsi="仿宋" w:eastAsia="仿宋" w:cs="宋体"/>
          <w:sz w:val="30"/>
          <w:szCs w:val="30"/>
        </w:rPr>
        <w:t>设</w:t>
      </w:r>
      <w:r>
        <w:rPr>
          <w:rFonts w:hint="eastAsia" w:ascii="仿宋" w:hAnsi="仿宋" w:eastAsia="仿宋" w:cs="MS Gothic"/>
          <w:sz w:val="30"/>
          <w:szCs w:val="30"/>
        </w:rPr>
        <w:t>工程</w:t>
      </w:r>
    </w:p>
    <w:p>
      <w:pPr>
        <w:adjustRightInd w:val="0"/>
        <w:snapToGrid w:val="0"/>
        <w:spacing w:line="600" w:lineRule="exact"/>
        <w:ind w:firstLine="602" w:firstLineChars="200"/>
        <w:jc w:val="both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模块二：基于价值创造的保险公司财务管理创新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 xml:space="preserve">▪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保险公司全面预算管理与成本管理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 xml:space="preserve">▪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保险公司KPI理论与实践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 xml:space="preserve">▪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保险公司投资管理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 xml:space="preserve">▪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保险公司盈余管理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 xml:space="preserve">▪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保险公司资产负债管理与偿付能力管理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 xml:space="preserve">▪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保险公司信息披露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 xml:space="preserve">▪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保险公司治理</w:t>
      </w:r>
    </w:p>
    <w:p>
      <w:pPr>
        <w:adjustRightInd w:val="0"/>
        <w:snapToGrid w:val="0"/>
        <w:spacing w:line="600" w:lineRule="exact"/>
        <w:ind w:firstLine="602" w:firstLineChars="200"/>
        <w:jc w:val="both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模块三：新会计准则下保险公司会计实务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 xml:space="preserve">▪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保险合同的确认、拆分与核算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 xml:space="preserve">▪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国内外财务会计准则下保险合同负债的计量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 xml:space="preserve">▪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保险业务（非寿险原保险业务、寿险原保险业务、投资型保险业务、再保险业务）会计处理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 xml:space="preserve">▪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保险资金运用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 xml:space="preserve">▪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保险公司税务会计：增值税、企业所得税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 xml:space="preserve">▪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保险公司的收入、费用和利润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 xml:space="preserve">▪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保险公司财务报表及报表分析</w:t>
      </w:r>
    </w:p>
    <w:p>
      <w:pPr>
        <w:adjustRightInd w:val="0"/>
        <w:snapToGrid w:val="0"/>
        <w:spacing w:line="600" w:lineRule="exact"/>
        <w:ind w:firstLine="602" w:firstLineChars="200"/>
        <w:jc w:val="both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模块四：“大智移云”下新型保险财会工作最佳方案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 xml:space="preserve">▪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大数据+保险财会工作最佳方案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 xml:space="preserve">▪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智能化+保险财会工作最佳方案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 xml:space="preserve">▪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移动互联网+保险财会工作最佳方案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 xml:space="preserve">▪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云计算+保险财会工作最佳方案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 xml:space="preserve">▪ </w:t>
      </w:r>
      <w:r>
        <w:rPr>
          <w:rFonts w:hint="eastAsia" w:ascii="仿宋_GB2312" w:eastAsia="仿宋_GB2312"/>
          <w:sz w:val="28"/>
          <w:szCs w:val="28"/>
        </w:rPr>
        <w:t>“大智移云”下新型保险财会工作典型案例分析</w:t>
      </w:r>
    </w:p>
    <w:p>
      <w:pPr>
        <w:adjustRightInd w:val="0"/>
        <w:snapToGrid w:val="0"/>
        <w:spacing w:line="600" w:lineRule="exact"/>
        <w:ind w:firstLine="602" w:firstLineChars="200"/>
        <w:jc w:val="both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模块五：保险公司内部控制重难点解析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hAnsi="MS Gothic" w:eastAsia="MS Gothic" w:cs="MS Gothic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 xml:space="preserve">▪ </w:t>
      </w:r>
      <w:r>
        <w:rPr>
          <w:rFonts w:hint="eastAsia" w:ascii="仿宋_GB2312" w:eastAsia="仿宋_GB2312"/>
          <w:sz w:val="28"/>
          <w:szCs w:val="28"/>
        </w:rPr>
        <w:t>保险公司内部控制重</w:t>
      </w:r>
      <w:r>
        <w:rPr>
          <w:rFonts w:hint="eastAsia" w:ascii="仿宋_GB2312" w:eastAsia="仿宋_GB2312"/>
          <w:sz w:val="30"/>
          <w:szCs w:val="30"/>
        </w:rPr>
        <w:t>难点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 xml:space="preserve">▪ </w:t>
      </w:r>
      <w:r>
        <w:rPr>
          <w:rFonts w:hint="eastAsia" w:ascii="仿宋_GB2312" w:eastAsia="仿宋_GB2312"/>
          <w:sz w:val="30"/>
          <w:szCs w:val="30"/>
        </w:rPr>
        <w:t>全面风险管理流程与治理构架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 xml:space="preserve">▪ </w:t>
      </w:r>
      <w:r>
        <w:rPr>
          <w:rFonts w:hint="eastAsia" w:ascii="仿宋_GB2312" w:eastAsia="仿宋_GB2312"/>
          <w:sz w:val="30"/>
          <w:szCs w:val="30"/>
        </w:rPr>
        <w:t>财务风险预警、防范与化解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 xml:space="preserve">▪ </w:t>
      </w:r>
      <w:r>
        <w:rPr>
          <w:rFonts w:hint="eastAsia" w:ascii="仿宋_GB2312" w:eastAsia="仿宋_GB2312"/>
          <w:sz w:val="30"/>
          <w:szCs w:val="30"/>
        </w:rPr>
        <w:t>新型保险业务风险研判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" w:hAnsi="仿宋" w:eastAsia="仿宋" w:cs="宋体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 xml:space="preserve">▪ 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>分公司财务风险识别与应对</w:t>
      </w:r>
    </w:p>
    <w:p>
      <w:pPr>
        <w:adjustRightInd w:val="0"/>
        <w:snapToGrid w:val="0"/>
        <w:spacing w:line="600" w:lineRule="exact"/>
        <w:ind w:firstLine="602" w:firstLineChars="200"/>
        <w:jc w:val="both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模块六: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b/>
          <w:sz w:val="30"/>
          <w:szCs w:val="30"/>
        </w:rPr>
        <w:t>“新个人所得税法、个税专项附加扣除、个税实施条例解读与税收风险管控”宣贯专题</w:t>
      </w:r>
    </w:p>
    <w:p>
      <w:pPr>
        <w:adjustRightInd w:val="0"/>
        <w:snapToGrid w:val="0"/>
        <w:spacing w:line="600" w:lineRule="exact"/>
        <w:ind w:firstLine="602" w:firstLineChars="200"/>
        <w:jc w:val="both"/>
        <w:rPr>
          <w:rFonts w:hint="eastAsia" w:ascii="仿宋_GB2312" w:hAnsi="宋体" w:eastAsia="仿宋_GB2312" w:cs="宋体"/>
          <w:b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模块七：保险公司</w:t>
      </w:r>
      <w:r>
        <w:rPr>
          <w:rFonts w:hint="eastAsia" w:ascii="仿宋_GB2312" w:hAnsi="宋体" w:eastAsia="仿宋_GB2312" w:cs="宋体"/>
          <w:b/>
          <w:bCs/>
          <w:color w:val="000000"/>
          <w:sz w:val="30"/>
          <w:szCs w:val="30"/>
        </w:rPr>
        <w:t>财务经理卓越领导力提升专题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 xml:space="preserve">▪ </w:t>
      </w:r>
      <w:r>
        <w:rPr>
          <w:rFonts w:hint="eastAsia" w:ascii="仿宋_GB2312" w:eastAsia="仿宋_GB2312"/>
          <w:sz w:val="30"/>
          <w:szCs w:val="30"/>
        </w:rPr>
        <w:t>财会工作全局思维提升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 xml:space="preserve">▪ </w:t>
      </w:r>
      <w:r>
        <w:rPr>
          <w:rFonts w:hint="eastAsia" w:ascii="仿宋_GB2312" w:eastAsia="仿宋_GB2312"/>
          <w:sz w:val="30"/>
          <w:szCs w:val="30"/>
        </w:rPr>
        <w:t>高效财务管理团队建设</w:t>
      </w:r>
    </w:p>
    <w:p>
      <w:pPr>
        <w:adjustRightInd w:val="0"/>
        <w:snapToGrid w:val="0"/>
        <w:spacing w:line="600" w:lineRule="exact"/>
        <w:ind w:firstLine="600" w:firstLineChars="200"/>
        <w:jc w:val="both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 xml:space="preserve">▪ </w:t>
      </w:r>
      <w:r>
        <w:rPr>
          <w:rFonts w:hint="eastAsia" w:ascii="仿宋_GB2312" w:eastAsia="仿宋_GB2312"/>
          <w:sz w:val="30"/>
          <w:szCs w:val="30"/>
        </w:rPr>
        <w:t>领导力与执行力</w:t>
      </w:r>
    </w:p>
    <w:p>
      <w:pPr>
        <w:spacing w:line="600" w:lineRule="exact"/>
        <w:ind w:firstLine="602" w:firstLineChars="200"/>
        <w:rPr>
          <w:rFonts w:hint="eastAsia" w:ascii="仿宋_GB2312" w:hAnsi="宋体" w:eastAsia="仿宋_GB2312" w:cs="宋体"/>
          <w:b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30"/>
          <w:szCs w:val="30"/>
        </w:rPr>
        <w:t>模块八：业务交流</w:t>
      </w:r>
    </w:p>
    <w:p>
      <w:pPr>
        <w:spacing w:line="600" w:lineRule="exact"/>
        <w:ind w:firstLine="600" w:firstLineChars="200"/>
        <w:rPr>
          <w:rFonts w:hint="eastAsia" w:ascii="仿宋_GB2312" w:hAnsi="宋体" w:eastAsia="仿宋_GB2312" w:cs="宋体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 xml:space="preserve">▪ 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从业经验交流</w:t>
      </w:r>
      <w:r>
        <w:rPr>
          <w:rFonts w:hint="eastAsia" w:ascii="仿宋_GB2312" w:hAnsi="宋体" w:eastAsia="仿宋_GB2312" w:cs="宋体"/>
          <w:b/>
          <w:bCs/>
          <w:color w:val="000000"/>
          <w:sz w:val="30"/>
          <w:szCs w:val="30"/>
        </w:rPr>
        <w:t>（个人发言20分钟，请提前准备）</w:t>
      </w:r>
    </w:p>
    <w:p>
      <w:pPr>
        <w:spacing w:line="600" w:lineRule="exact"/>
        <w:ind w:firstLine="600" w:firstLineChars="200"/>
        <w:rPr>
          <w:rFonts w:hint="eastAsia" w:ascii="仿宋_GB2312" w:hAnsi="宋体" w:eastAsia="仿宋_GB2312" w:cs="宋体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 xml:space="preserve"> 专家及与会代表现场点评</w:t>
      </w:r>
    </w:p>
    <w:p>
      <w:pPr>
        <w:spacing w:line="600" w:lineRule="exact"/>
        <w:ind w:firstLine="599" w:firstLineChars="199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五、培训证书</w:t>
      </w:r>
    </w:p>
    <w:p>
      <w:pPr>
        <w:spacing w:line="600" w:lineRule="exact"/>
        <w:ind w:left="496" w:leftChars="248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培训班学习期满，颁发中国总会计师协会《培训结业证书》。</w:t>
      </w:r>
    </w:p>
    <w:p>
      <w:pPr>
        <w:spacing w:line="600" w:lineRule="exact"/>
        <w:ind w:firstLine="602" w:firstLineChars="200"/>
        <w:rPr>
          <w:rFonts w:ascii="仿宋_GB2312" w:hAnsi="仿宋_GB2312" w:eastAsia="仿宋_GB2312" w:cs="仿宋_GB2312"/>
          <w:b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六、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收费标准</w:t>
      </w:r>
    </w:p>
    <w:p>
      <w:pPr>
        <w:spacing w:line="600" w:lineRule="exact"/>
        <w:ind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培训费2600元/人；食宿统一安排，费用自理；往返交通及费用由参会单位或个人自行办理。报名人员可在培训班开始前一周将费用汇至委托承办单位账户，并将银行汇款凭证发邮件至会务组，以便开具增值税专用发票。收款单位户名：北京长训教育科技有限公司；开户银行：中国工商银行股份有限公司北京科技园支行；账号：0200 2964 0920 0239 547。培训班也接受现场缴费。</w:t>
      </w:r>
    </w:p>
    <w:p>
      <w:pPr>
        <w:spacing w:line="580" w:lineRule="exact"/>
        <w:ind w:firstLine="599" w:firstLineChars="199"/>
        <w:jc w:val="both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>七、报名及联系方式</w:t>
      </w:r>
    </w:p>
    <w:p>
      <w:pPr>
        <w:spacing w:line="580" w:lineRule="exact"/>
        <w:ind w:firstLine="597" w:firstLineChars="199"/>
        <w:jc w:val="both"/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(一)培训班相关信息和报名表格请见中国总会计师协会网站（http://www.cacfo.com/）培训工作专栏；</w:t>
      </w:r>
    </w:p>
    <w:p>
      <w:pPr>
        <w:spacing w:line="580" w:lineRule="exact"/>
        <w:ind w:firstLine="597" w:firstLineChars="199"/>
        <w:jc w:val="both"/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(二) 参训学员填写报名回执,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加盖公章，务必于培训班开始前一周发邮件至会务组。收到回执后,会务组将回信确认报名成功。</w:t>
      </w:r>
    </w:p>
    <w:p>
      <w:pPr>
        <w:spacing w:line="580" w:lineRule="exact"/>
        <w:ind w:firstLine="597" w:firstLineChars="199"/>
        <w:jc w:val="both"/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(三)咨询电话：010-52262775   52262788</w:t>
      </w:r>
    </w:p>
    <w:p>
      <w:pPr>
        <w:spacing w:line="580" w:lineRule="exact"/>
        <w:ind w:firstLine="597" w:firstLineChars="199"/>
        <w:jc w:val="both"/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13911137571（微信同号）  88191832（中总协培训部）</w:t>
      </w:r>
    </w:p>
    <w:p>
      <w:pPr>
        <w:spacing w:line="580" w:lineRule="exact"/>
        <w:ind w:firstLine="597" w:firstLineChars="199"/>
        <w:jc w:val="both"/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报名邮箱：3039056115@qq.com</w:t>
      </w:r>
    </w:p>
    <w:p>
      <w:pPr>
        <w:spacing w:line="580" w:lineRule="exact"/>
        <w:ind w:firstLine="597" w:firstLineChars="199"/>
        <w:jc w:val="both"/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报名传真：010-52262787   52262790</w:t>
      </w:r>
    </w:p>
    <w:p>
      <w:pPr>
        <w:spacing w:line="580" w:lineRule="exact"/>
        <w:ind w:firstLine="597" w:firstLineChars="199"/>
        <w:jc w:val="both"/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联 系 人：徐黎明  周正  谢祥龙  桑立强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C72E0"/>
    <w:rsid w:val="64FC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2019-02-12T02:43:00Z</dcterms:created>
  <dc:creator>桑立强</dc:creator>
  <cp:lastModifiedBy>桑立强</cp:lastModifiedBy>
  <dcterms:modified xsi:type="dcterms:W3CDTF">2019-02-12T02:43:49Z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