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20" w:lineRule="exact"/>
        <w:ind w:left="-425" w:leftChars="-203" w:right="-483" w:rightChars="-230" w:hanging="1"/>
        <w:rPr>
          <w:rFonts w:ascii="仿宋_GB2312" w:hAnsi="宋体" w:eastAsia="仿宋_GB2312" w:cs="仿宋"/>
          <w:sz w:val="30"/>
          <w:szCs w:val="30"/>
        </w:rPr>
      </w:pPr>
      <w:r>
        <w:rPr>
          <w:rFonts w:hint="eastAsia" w:ascii="仿宋_GB2312" w:hAnsi="宋体" w:eastAsia="仿宋_GB2312" w:cs="仿宋"/>
          <w:sz w:val="30"/>
          <w:szCs w:val="30"/>
        </w:rPr>
        <w:t>附件</w:t>
      </w:r>
      <w:r>
        <w:rPr>
          <w:rFonts w:ascii="仿宋_GB2312" w:hAnsi="宋体" w:eastAsia="仿宋_GB2312" w:cs="仿宋"/>
          <w:sz w:val="30"/>
          <w:szCs w:val="30"/>
        </w:rPr>
        <w:t>1</w:t>
      </w:r>
      <w:r>
        <w:rPr>
          <w:rFonts w:hint="eastAsia" w:ascii="仿宋_GB2312" w:hAnsi="宋体" w:eastAsia="仿宋_GB2312" w:cs="仿宋"/>
          <w:sz w:val="30"/>
          <w:szCs w:val="30"/>
        </w:rPr>
        <w:t>：</w:t>
      </w:r>
    </w:p>
    <w:p>
      <w:pPr>
        <w:spacing w:line="420" w:lineRule="exact"/>
        <w:ind w:left="-426" w:leftChars="-203" w:right="-483" w:rightChars="-230"/>
        <w:jc w:val="center"/>
        <w:rPr>
          <w:rFonts w:cs="黑体"/>
          <w:b/>
          <w:bCs/>
          <w:kern w:val="10"/>
          <w:sz w:val="36"/>
          <w:szCs w:val="36"/>
        </w:rPr>
      </w:pPr>
      <w:r>
        <w:rPr>
          <w:rFonts w:hint="eastAsia" w:cs="黑体"/>
          <w:b/>
          <w:bCs/>
          <w:kern w:val="10"/>
          <w:sz w:val="36"/>
          <w:szCs w:val="36"/>
        </w:rPr>
        <w:t>“税收新政、涉税风险管控与税务信息化”“资金管理模式创新、大数据金融及财务战略与投融资实务”</w:t>
      </w:r>
    </w:p>
    <w:p>
      <w:pPr>
        <w:spacing w:line="420" w:lineRule="exact"/>
        <w:ind w:left="-426" w:leftChars="-203" w:right="-483" w:rightChars="-230"/>
        <w:jc w:val="center"/>
        <w:rPr>
          <w:rFonts w:cs="黑体"/>
          <w:b/>
          <w:bCs/>
          <w:kern w:val="10"/>
          <w:sz w:val="32"/>
          <w:szCs w:val="32"/>
        </w:rPr>
      </w:pPr>
      <w:r>
        <w:rPr>
          <w:rFonts w:hint="eastAsia" w:ascii="宋体" w:hAnsi="宋体" w:cs="黑体"/>
          <w:b/>
          <w:bCs/>
          <w:kern w:val="10"/>
          <w:sz w:val="36"/>
          <w:szCs w:val="36"/>
        </w:rPr>
        <w:t>专题研讨活动</w:t>
      </w:r>
      <w:r>
        <w:rPr>
          <w:rFonts w:hint="eastAsia" w:ascii="宋体" w:hAnsi="宋体" w:cs="仿宋"/>
          <w:b/>
          <w:sz w:val="36"/>
          <w:szCs w:val="36"/>
        </w:rPr>
        <w:t>工作方案</w:t>
      </w:r>
    </w:p>
    <w:p>
      <w:pPr>
        <w:spacing w:before="468" w:beforeLines="150" w:line="420" w:lineRule="exact"/>
        <w:ind w:left="-425" w:leftChars="-203" w:right="-483" w:rightChars="-230" w:hanging="1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主办单位：中国总会计师协会</w:t>
      </w:r>
    </w:p>
    <w:p>
      <w:pPr>
        <w:spacing w:after="156" w:afterLines="50" w:line="420" w:lineRule="exact"/>
        <w:ind w:left="-425" w:leftChars="-203" w:right="-483" w:rightChars="-230" w:hanging="1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承办单位：《中国总会计师》杂志社</w:t>
      </w:r>
    </w:p>
    <w:p>
      <w:pPr>
        <w:widowControl/>
        <w:spacing w:line="440" w:lineRule="exact"/>
        <w:ind w:left="-425" w:leftChars="-203" w:right="-483" w:rightChars="-230" w:hanging="1"/>
        <w:jc w:val="left"/>
        <w:rPr>
          <w:rFonts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一、时间地点</w:t>
      </w:r>
    </w:p>
    <w:p>
      <w:pPr>
        <w:spacing w:line="440" w:lineRule="exact"/>
        <w:ind w:left="-425" w:leftChars="-203" w:right="-483" w:rightChars="-230" w:hanging="1"/>
        <w:rPr>
          <w:rFonts w:ascii="仿宋_GB2312" w:hAnsi="宋体" w:eastAsia="仿宋_GB2312" w:cs="仿宋"/>
          <w:b/>
          <w:sz w:val="30"/>
          <w:szCs w:val="30"/>
        </w:rPr>
      </w:pPr>
      <w:r>
        <w:rPr>
          <w:rFonts w:hint="eastAsia" w:ascii="仿宋" w:hAnsi="仿宋" w:eastAsia="仿宋" w:cs="仿宋"/>
          <w:b/>
          <w:sz w:val="30"/>
          <w:szCs w:val="30"/>
        </w:rPr>
        <w:t>专题一：税收新政、涉税风险管控与税务信息化</w:t>
      </w:r>
    </w:p>
    <w:p>
      <w:pPr>
        <w:spacing w:line="440" w:lineRule="exact"/>
        <w:ind w:left="-425" w:leftChars="-203" w:right="-483" w:rightChars="-230" w:hanging="1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时间：</w:t>
      </w:r>
      <w:r>
        <w:rPr>
          <w:rFonts w:ascii="仿宋" w:hAnsi="仿宋" w:eastAsia="仿宋" w:cs="仿宋"/>
          <w:sz w:val="30"/>
          <w:szCs w:val="30"/>
        </w:rPr>
        <w:t>201</w:t>
      </w:r>
      <w:r>
        <w:rPr>
          <w:rFonts w:hint="eastAsia" w:ascii="仿宋" w:hAnsi="仿宋" w:eastAsia="仿宋" w:cs="仿宋"/>
          <w:sz w:val="30"/>
          <w:szCs w:val="30"/>
        </w:rPr>
        <w:t>9年10月20日</w:t>
      </w:r>
      <w:r>
        <w:rPr>
          <w:rFonts w:ascii="仿宋" w:hAnsi="仿宋" w:eastAsia="仿宋" w:cs="仿宋"/>
          <w:sz w:val="30"/>
          <w:szCs w:val="30"/>
        </w:rPr>
        <w:t>—</w:t>
      </w:r>
      <w:r>
        <w:rPr>
          <w:rFonts w:hint="eastAsia" w:ascii="仿宋" w:hAnsi="仿宋" w:eastAsia="仿宋" w:cs="仿宋"/>
          <w:sz w:val="30"/>
          <w:szCs w:val="30"/>
        </w:rPr>
        <w:t>24日</w:t>
      </w:r>
    </w:p>
    <w:p>
      <w:pPr>
        <w:spacing w:line="440" w:lineRule="exact"/>
        <w:ind w:left="-425" w:leftChars="-203" w:right="-483" w:rightChars="-230" w:hanging="1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地点：长沙市</w:t>
      </w:r>
    </w:p>
    <w:p>
      <w:pPr>
        <w:spacing w:line="440" w:lineRule="exact"/>
        <w:ind w:left="-425" w:leftChars="-203" w:right="-483" w:rightChars="-230" w:hanging="1"/>
        <w:rPr>
          <w:rFonts w:ascii="仿宋" w:hAnsi="仿宋" w:eastAsia="仿宋" w:cs="仿宋"/>
          <w:b/>
          <w:sz w:val="30"/>
          <w:szCs w:val="30"/>
        </w:rPr>
      </w:pPr>
      <w:r>
        <w:rPr>
          <w:rFonts w:hint="eastAsia" w:ascii="仿宋" w:hAnsi="仿宋" w:eastAsia="仿宋" w:cs="仿宋"/>
          <w:b/>
          <w:sz w:val="30"/>
          <w:szCs w:val="30"/>
        </w:rPr>
        <w:t>专题二: 资金管理模式创新、大数据金融及财务战略与投融资实务</w:t>
      </w:r>
    </w:p>
    <w:p>
      <w:pPr>
        <w:spacing w:line="440" w:lineRule="exact"/>
        <w:ind w:left="-425" w:leftChars="-203" w:right="-483" w:rightChars="-230" w:hanging="1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时间：2019年11月17日—21日</w:t>
      </w:r>
    </w:p>
    <w:p>
      <w:pPr>
        <w:spacing w:line="440" w:lineRule="exact"/>
        <w:ind w:left="-425" w:leftChars="-203" w:right="-483" w:rightChars="-230" w:hanging="1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地点：深圳市</w:t>
      </w:r>
    </w:p>
    <w:p>
      <w:pPr>
        <w:spacing w:line="440" w:lineRule="exact"/>
        <w:ind w:left="-425" w:leftChars="-203" w:right="-483" w:rightChars="-230" w:hanging="1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（具体地址开会前十天见报到通知）</w:t>
      </w:r>
    </w:p>
    <w:p>
      <w:pPr>
        <w:spacing w:line="120" w:lineRule="exact"/>
        <w:ind w:left="-425" w:leftChars="-203" w:right="-483" w:rightChars="-230" w:hanging="1"/>
        <w:rPr>
          <w:rFonts w:ascii="仿宋_GB2312" w:hAnsi="宋体" w:eastAsia="仿宋_GB2312" w:cs="仿宋"/>
          <w:sz w:val="30"/>
          <w:szCs w:val="30"/>
        </w:rPr>
      </w:pPr>
    </w:p>
    <w:p>
      <w:pPr>
        <w:pStyle w:val="4"/>
        <w:numPr>
          <w:ilvl w:val="0"/>
          <w:numId w:val="1"/>
        </w:numPr>
        <w:spacing w:line="440" w:lineRule="exact"/>
        <w:ind w:right="-483" w:rightChars="-230" w:firstLineChars="0"/>
        <w:jc w:val="left"/>
        <w:rPr>
          <w:rFonts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参会对象</w:t>
      </w:r>
    </w:p>
    <w:p>
      <w:pPr>
        <w:spacing w:line="440" w:lineRule="exact"/>
        <w:ind w:left="-425" w:leftChars="-203" w:right="-483" w:rightChars="-230" w:hanging="1"/>
        <w:rPr>
          <w:rFonts w:ascii="仿宋_GB2312" w:hAnsi="宋体" w:eastAsia="仿宋_GB2312" w:cs="仿宋"/>
          <w:b/>
          <w:bCs/>
          <w:sz w:val="30"/>
          <w:szCs w:val="30"/>
        </w:rPr>
      </w:pPr>
      <w:r>
        <w:rPr>
          <w:rFonts w:hint="eastAsia" w:ascii="仿宋_GB2312" w:hAnsi="宋体" w:eastAsia="仿宋_GB2312" w:cs="仿宋"/>
          <w:sz w:val="30"/>
          <w:szCs w:val="30"/>
        </w:rPr>
        <w:t xml:space="preserve">    </w:t>
      </w:r>
      <w:r>
        <w:rPr>
          <w:rFonts w:hint="eastAsia" w:ascii="仿宋" w:hAnsi="仿宋" w:eastAsia="仿宋" w:cs="仿宋"/>
          <w:sz w:val="30"/>
          <w:szCs w:val="30"/>
        </w:rPr>
        <w:t>政府机关、企事业单位总会计师、财务总监、首席财务官、财务负责人；财务部、资金部、税务部门负责人；财务和税务经理、主管等；财务</w:t>
      </w:r>
      <w:r>
        <w:rPr>
          <w:rFonts w:ascii="仿宋" w:hAnsi="仿宋" w:eastAsia="仿宋" w:cs="仿宋"/>
          <w:sz w:val="30"/>
          <w:szCs w:val="30"/>
        </w:rPr>
        <w:t>/</w:t>
      </w:r>
      <w:r>
        <w:rPr>
          <w:rFonts w:hint="eastAsia" w:ascii="仿宋" w:hAnsi="仿宋" w:eastAsia="仿宋" w:cs="仿宋"/>
          <w:sz w:val="30"/>
          <w:szCs w:val="30"/>
        </w:rPr>
        <w:t>会计共享服务中心相关负责人、信息化负责人、人力资源部负责人；财会、税务、审计人员，投资分析与研究人员等；投资部、证券部相关负责人等；中国总会计师协会会员、会计师事务所</w:t>
      </w:r>
      <w:r>
        <w:rPr>
          <w:rFonts w:ascii="仿宋" w:hAnsi="仿宋" w:eastAsia="仿宋" w:cs="仿宋"/>
          <w:sz w:val="30"/>
          <w:szCs w:val="30"/>
        </w:rPr>
        <w:t>CPA</w:t>
      </w:r>
      <w:r>
        <w:rPr>
          <w:rFonts w:hint="eastAsia" w:ascii="仿宋" w:hAnsi="仿宋" w:eastAsia="仿宋" w:cs="仿宋"/>
          <w:sz w:val="30"/>
          <w:szCs w:val="30"/>
        </w:rPr>
        <w:t>、咨询师；金融行业金融分析师、风险控制师；大中专院校会计专业教师；需要加强会计知识学习和提升的各单位主要负责人等</w:t>
      </w:r>
    </w:p>
    <w:p>
      <w:pPr>
        <w:spacing w:line="120" w:lineRule="exact"/>
        <w:ind w:left="-425" w:leftChars="-203" w:right="-483" w:rightChars="-230" w:hanging="1"/>
        <w:rPr>
          <w:rFonts w:ascii="仿宋_GB2312" w:hAnsi="宋体" w:eastAsia="仿宋_GB2312" w:cs="仿宋"/>
          <w:sz w:val="30"/>
          <w:szCs w:val="30"/>
        </w:rPr>
      </w:pPr>
    </w:p>
    <w:p>
      <w:pPr>
        <w:pStyle w:val="4"/>
        <w:numPr>
          <w:ilvl w:val="0"/>
          <w:numId w:val="1"/>
        </w:numPr>
        <w:spacing w:line="440" w:lineRule="exact"/>
        <w:ind w:right="-483" w:rightChars="-230" w:firstLineChars="0"/>
        <w:jc w:val="left"/>
        <w:rPr>
          <w:rFonts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研讨培训内容</w:t>
      </w:r>
    </w:p>
    <w:p>
      <w:pPr>
        <w:spacing w:line="440" w:lineRule="exact"/>
        <w:ind w:left="-425" w:leftChars="-203" w:right="-483" w:rightChars="-230" w:hanging="1"/>
        <w:jc w:val="left"/>
        <w:rPr>
          <w:rFonts w:ascii="仿宋" w:hAnsi="仿宋" w:eastAsia="仿宋" w:cs="仿宋"/>
          <w:b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专题一：</w:t>
      </w:r>
      <w:r>
        <w:rPr>
          <w:rFonts w:hint="eastAsia" w:ascii="仿宋" w:hAnsi="仿宋" w:eastAsia="仿宋" w:cs="仿宋"/>
          <w:b/>
          <w:sz w:val="30"/>
          <w:szCs w:val="30"/>
        </w:rPr>
        <w:t>税收新政、涉税风险管控与税务信息化</w:t>
      </w:r>
    </w:p>
    <w:p>
      <w:pPr>
        <w:spacing w:line="440" w:lineRule="exact"/>
        <w:ind w:left="-425" w:leftChars="-203" w:right="-483" w:rightChars="-230" w:hanging="1"/>
        <w:jc w:val="left"/>
        <w:rPr>
          <w:rFonts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1、最新税收政策解析与梳理</w:t>
      </w:r>
    </w:p>
    <w:p>
      <w:pPr>
        <w:spacing w:line="440" w:lineRule="exact"/>
        <w:ind w:left="-425" w:leftChars="-203" w:right="-483" w:rightChars="-230" w:hanging="1"/>
        <w:jc w:val="left"/>
        <w:rPr>
          <w:rFonts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_GB2312" w:eastAsia="仿宋_GB2312" w:cs="仿宋_GB2312"/>
          <w:sz w:val="28"/>
          <w:szCs w:val="28"/>
        </w:rPr>
        <w:t xml:space="preserve">    </w:t>
      </w:r>
      <w:r>
        <w:rPr>
          <w:rFonts w:hint="eastAsia" w:ascii="仿宋" w:hAnsi="仿宋" w:eastAsia="仿宋" w:cs="仿宋"/>
          <w:sz w:val="30"/>
          <w:szCs w:val="30"/>
        </w:rPr>
        <w:t>最新减税政策动态解析与实施应对；2019年最新增值税税收政策变化及影响；企业所得税政策的变化及影响</w:t>
      </w:r>
    </w:p>
    <w:p>
      <w:pPr>
        <w:spacing w:line="440" w:lineRule="exact"/>
        <w:ind w:left="-425" w:leftChars="-203" w:right="-483" w:rightChars="-230" w:hanging="1"/>
        <w:jc w:val="left"/>
        <w:rPr>
          <w:rFonts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2、个人所得税法修改政策解析与社保征管改革</w:t>
      </w:r>
    </w:p>
    <w:p>
      <w:pPr>
        <w:spacing w:line="440" w:lineRule="exact"/>
        <w:ind w:left="-425" w:leftChars="-203" w:right="-483" w:rightChars="-230" w:hanging="1"/>
        <w:jc w:val="left"/>
        <w:rPr>
          <w:rFonts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 xml:space="preserve">    </w:t>
      </w:r>
      <w:r>
        <w:rPr>
          <w:rFonts w:ascii="仿宋" w:hAnsi="仿宋" w:eastAsia="仿宋" w:cs="仿宋"/>
          <w:sz w:val="30"/>
          <w:szCs w:val="30"/>
        </w:rPr>
        <w:t>新个人所得税法</w:t>
      </w:r>
      <w:r>
        <w:rPr>
          <w:rFonts w:hint="eastAsia" w:ascii="仿宋" w:hAnsi="仿宋" w:eastAsia="仿宋" w:cs="仿宋"/>
          <w:sz w:val="30"/>
          <w:szCs w:val="30"/>
        </w:rPr>
        <w:t>实施条例解读与</w:t>
      </w:r>
      <w:r>
        <w:rPr>
          <w:rFonts w:ascii="仿宋" w:hAnsi="仿宋" w:eastAsia="仿宋" w:cs="仿宋"/>
          <w:sz w:val="30"/>
          <w:szCs w:val="30"/>
        </w:rPr>
        <w:t>应对策略分析</w:t>
      </w:r>
      <w:r>
        <w:rPr>
          <w:rFonts w:hint="eastAsia" w:ascii="仿宋" w:hAnsi="仿宋" w:eastAsia="仿宋" w:cs="仿宋"/>
          <w:sz w:val="30"/>
          <w:szCs w:val="30"/>
        </w:rPr>
        <w:t>；社保征管体制改革政策解读；正确代扣代缴个人所得税需要关注的基本要点；综合所得按年计算个税对税负有何影响；个人所得税收筹划的误区；社保费疑难问题解析与应对办法；职工薪酬与企业所得税、个人所得税和社保费用缴纳法律界限解析</w:t>
      </w:r>
    </w:p>
    <w:p>
      <w:pPr>
        <w:spacing w:line="440" w:lineRule="exact"/>
        <w:ind w:left="-426" w:leftChars="-203" w:right="-483" w:rightChars="-230"/>
        <w:jc w:val="left"/>
        <w:rPr>
          <w:rFonts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3、涉税风险管控</w:t>
      </w:r>
    </w:p>
    <w:p>
      <w:pPr>
        <w:spacing w:line="440" w:lineRule="exact"/>
        <w:ind w:left="-426" w:right="-483" w:rightChars="-230"/>
        <w:jc w:val="left"/>
        <w:outlineLvl w:val="0"/>
        <w:rPr>
          <w:rFonts w:ascii="仿宋" w:hAnsi="仿宋" w:eastAsia="仿宋" w:cs="仿宋"/>
          <w:bCs/>
          <w:sz w:val="30"/>
          <w:szCs w:val="30"/>
        </w:rPr>
      </w:pPr>
      <w:r>
        <w:rPr>
          <w:rFonts w:hint="eastAsia" w:ascii="仿宋" w:hAnsi="仿宋" w:eastAsia="仿宋" w:cs="仿宋"/>
          <w:bCs/>
          <w:sz w:val="30"/>
          <w:szCs w:val="30"/>
        </w:rPr>
        <w:t xml:space="preserve">    大数据背景下的企业涉税风险；税制改革和税收征管变化引发的企业涉税风险；企业涉税风险形成的主要因素及形成风险的原因；涉税风险防范案例分析</w:t>
      </w:r>
    </w:p>
    <w:p>
      <w:pPr>
        <w:spacing w:line="440" w:lineRule="exact"/>
        <w:ind w:left="-426" w:right="-483" w:rightChars="-230"/>
        <w:jc w:val="left"/>
        <w:outlineLvl w:val="0"/>
        <w:rPr>
          <w:rFonts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4、所得税汇算清缴与税收筹划</w:t>
      </w:r>
    </w:p>
    <w:p>
      <w:pPr>
        <w:spacing w:line="440" w:lineRule="exact"/>
        <w:ind w:left="-426" w:leftChars="-203" w:right="-483" w:rightChars="-230"/>
        <w:jc w:val="left"/>
        <w:outlineLvl w:val="0"/>
        <w:rPr>
          <w:rFonts w:ascii="仿宋" w:hAnsi="仿宋" w:eastAsia="仿宋" w:cs="仿宋"/>
          <w:bCs/>
          <w:sz w:val="30"/>
          <w:szCs w:val="30"/>
        </w:rPr>
      </w:pPr>
      <w:r>
        <w:rPr>
          <w:rFonts w:hint="eastAsia" w:ascii="仿宋" w:hAnsi="仿宋" w:eastAsia="仿宋" w:cs="仿宋"/>
          <w:bCs/>
          <w:sz w:val="30"/>
          <w:szCs w:val="30"/>
        </w:rPr>
        <w:t xml:space="preserve">    企业所得税汇算清缴最新政策梳理；汇算清缴数据资料的归集与整理，汇算清缴中的账务处理实务与纳税调整；减免税优惠与扣除凭证的实效问题；新版企业所得税申报表重大变化</w:t>
      </w:r>
    </w:p>
    <w:p>
      <w:pPr>
        <w:spacing w:line="440" w:lineRule="exact"/>
        <w:ind w:left="-426" w:leftChars="-203" w:right="-483" w:rightChars="-230"/>
        <w:jc w:val="left"/>
        <w:outlineLvl w:val="0"/>
        <w:rPr>
          <w:rFonts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5、企业会计准则和税法差异分析与纳税调整</w:t>
      </w:r>
    </w:p>
    <w:p>
      <w:pPr>
        <w:spacing w:line="440" w:lineRule="exact"/>
        <w:ind w:left="-426" w:leftChars="-203" w:right="-483" w:rightChars="-230"/>
        <w:jc w:val="left"/>
        <w:outlineLvl w:val="0"/>
        <w:rPr>
          <w:rFonts w:ascii="仿宋" w:hAnsi="仿宋" w:eastAsia="仿宋" w:cs="仿宋"/>
          <w:bCs/>
          <w:sz w:val="30"/>
          <w:szCs w:val="30"/>
        </w:rPr>
      </w:pPr>
      <w:r>
        <w:rPr>
          <w:rFonts w:hint="eastAsia" w:ascii="仿宋" w:hAnsi="仿宋" w:eastAsia="仿宋" w:cs="仿宋"/>
          <w:bCs/>
          <w:sz w:val="30"/>
          <w:szCs w:val="30"/>
        </w:rPr>
        <w:t xml:space="preserve">    </w:t>
      </w:r>
      <w:r>
        <w:rPr>
          <w:rFonts w:ascii="仿宋" w:hAnsi="仿宋" w:eastAsia="仿宋" w:cs="仿宋"/>
          <w:bCs/>
          <w:sz w:val="30"/>
          <w:szCs w:val="30"/>
        </w:rPr>
        <w:t>收入准则的会计与税务处理差异与协调</w:t>
      </w:r>
      <w:r>
        <w:rPr>
          <w:rFonts w:hint="eastAsia" w:ascii="仿宋" w:hAnsi="仿宋" w:eastAsia="仿宋" w:cs="仿宋"/>
          <w:bCs/>
          <w:sz w:val="30"/>
          <w:szCs w:val="30"/>
        </w:rPr>
        <w:t>；</w:t>
      </w:r>
      <w:r>
        <w:rPr>
          <w:rFonts w:ascii="仿宋" w:hAnsi="仿宋" w:eastAsia="仿宋" w:cs="仿宋"/>
          <w:bCs/>
          <w:sz w:val="30"/>
          <w:szCs w:val="30"/>
        </w:rPr>
        <w:t>政府补助准则的会计与税务处理差异与协调</w:t>
      </w:r>
      <w:r>
        <w:rPr>
          <w:rFonts w:hint="eastAsia" w:ascii="仿宋" w:hAnsi="仿宋" w:eastAsia="仿宋" w:cs="仿宋"/>
          <w:bCs/>
          <w:sz w:val="30"/>
          <w:szCs w:val="30"/>
        </w:rPr>
        <w:t>；</w:t>
      </w:r>
      <w:r>
        <w:rPr>
          <w:rFonts w:ascii="仿宋" w:hAnsi="仿宋" w:eastAsia="仿宋" w:cs="仿宋"/>
          <w:bCs/>
          <w:sz w:val="30"/>
          <w:szCs w:val="30"/>
        </w:rPr>
        <w:t>金融工具、金融资产转移的会计与税务处理差异与协调</w:t>
      </w:r>
      <w:r>
        <w:rPr>
          <w:rFonts w:hint="eastAsia" w:ascii="仿宋" w:hAnsi="仿宋" w:eastAsia="仿宋" w:cs="仿宋"/>
          <w:bCs/>
          <w:sz w:val="30"/>
          <w:szCs w:val="30"/>
        </w:rPr>
        <w:t>；</w:t>
      </w:r>
      <w:r>
        <w:rPr>
          <w:rFonts w:ascii="仿宋" w:hAnsi="仿宋" w:eastAsia="仿宋" w:cs="仿宋"/>
          <w:bCs/>
          <w:sz w:val="30"/>
          <w:szCs w:val="30"/>
        </w:rPr>
        <w:t>套期工具、租赁准则的会计与税务处理差异协调</w:t>
      </w:r>
      <w:r>
        <w:rPr>
          <w:rFonts w:hint="eastAsia" w:ascii="仿宋" w:hAnsi="仿宋" w:eastAsia="仿宋" w:cs="仿宋"/>
          <w:bCs/>
          <w:sz w:val="30"/>
          <w:szCs w:val="30"/>
        </w:rPr>
        <w:t>；</w:t>
      </w:r>
      <w:r>
        <w:rPr>
          <w:rFonts w:ascii="仿宋" w:hAnsi="仿宋" w:eastAsia="仿宋" w:cs="仿宋"/>
          <w:bCs/>
          <w:sz w:val="30"/>
          <w:szCs w:val="30"/>
        </w:rPr>
        <w:t>持有待售的非流动资产、处置组织和终止经营准则的会计处理与税务处理差异协调</w:t>
      </w:r>
    </w:p>
    <w:p>
      <w:pPr>
        <w:spacing w:line="440" w:lineRule="exact"/>
        <w:ind w:left="-426" w:leftChars="-203" w:right="-483" w:rightChars="-230"/>
        <w:jc w:val="left"/>
        <w:outlineLvl w:val="0"/>
        <w:rPr>
          <w:rFonts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6、税务共享与税务信息化</w:t>
      </w:r>
    </w:p>
    <w:p>
      <w:pPr>
        <w:spacing w:line="440" w:lineRule="exact"/>
        <w:ind w:left="-426" w:leftChars="-203" w:right="-483" w:rightChars="-230"/>
        <w:jc w:val="left"/>
        <w:outlineLvl w:val="0"/>
        <w:rPr>
          <w:rFonts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 xml:space="preserve">    </w:t>
      </w:r>
      <w:r>
        <w:rPr>
          <w:rFonts w:hint="eastAsia" w:ascii="仿宋" w:hAnsi="仿宋" w:eastAsia="仿宋" w:cs="仿宋"/>
          <w:bCs/>
          <w:sz w:val="30"/>
          <w:szCs w:val="30"/>
        </w:rPr>
        <w:t>税务共享建设方案；销项票据共享，进项票据共享，结算共享；纳税申报自动化；税务共享中的风险管控；从税务共享到智能税务；企业集团税务信息化</w:t>
      </w:r>
    </w:p>
    <w:p>
      <w:pPr>
        <w:spacing w:line="120" w:lineRule="exact"/>
        <w:ind w:left="-426" w:leftChars="-203" w:right="-483" w:rightChars="-230"/>
        <w:rPr>
          <w:rFonts w:ascii="仿宋_GB2312" w:hAnsi="宋体" w:eastAsia="仿宋_GB2312" w:cs="仿宋"/>
          <w:sz w:val="30"/>
          <w:szCs w:val="30"/>
        </w:rPr>
      </w:pPr>
    </w:p>
    <w:p>
      <w:pPr>
        <w:widowControl/>
        <w:spacing w:line="440" w:lineRule="exact"/>
        <w:ind w:left="-426" w:leftChars="-203" w:right="-483" w:rightChars="-230"/>
        <w:jc w:val="left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b/>
          <w:sz w:val="30"/>
          <w:szCs w:val="30"/>
        </w:rPr>
        <w:t>专题二：资金管理模式创新、大数据金融及财务战略与投融资实务</w:t>
      </w:r>
    </w:p>
    <w:p>
      <w:pPr>
        <w:widowControl/>
        <w:spacing w:line="440" w:lineRule="exact"/>
        <w:ind w:left="-426" w:leftChars="-203" w:right="-483" w:rightChars="-230"/>
        <w:jc w:val="left"/>
        <w:rPr>
          <w:rFonts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1、企业资金管理创新的理念与框架</w:t>
      </w:r>
    </w:p>
    <w:p>
      <w:pPr>
        <w:spacing w:line="440" w:lineRule="exact"/>
        <w:ind w:left="-424" w:leftChars="-202" w:firstLine="600"/>
        <w:rPr>
          <w:rFonts w:ascii="仿宋" w:hAnsi="仿宋" w:eastAsia="仿宋" w:cs="仿宋"/>
          <w:bCs/>
          <w:sz w:val="30"/>
          <w:szCs w:val="30"/>
        </w:rPr>
      </w:pPr>
      <w:r>
        <w:rPr>
          <w:rFonts w:hint="eastAsia" w:ascii="仿宋" w:hAnsi="仿宋" w:eastAsia="仿宋" w:cs="仿宋"/>
          <w:bCs/>
          <w:sz w:val="30"/>
          <w:szCs w:val="30"/>
        </w:rPr>
        <w:t>现金为王与资金管理的目标；经济活动的分类与资金管理框架；营运资金的重新界定与分类；营运资金绩效评价体系创新；营运资金与财务风险评估；业务流程和商业模式创新与资金管理创新；管理体制创新与资金管理创新；混合所有制与资金管理创新；资金的时间价值与风险价值</w:t>
      </w:r>
    </w:p>
    <w:p>
      <w:pPr>
        <w:spacing w:line="440" w:lineRule="exact"/>
        <w:ind w:left="-424" w:leftChars="-203" w:hanging="2"/>
        <w:rPr>
          <w:rFonts w:ascii="仿宋" w:hAnsi="仿宋" w:eastAsia="仿宋" w:cs="仿宋"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2、企业现金流管理与控制实务</w:t>
      </w:r>
    </w:p>
    <w:p>
      <w:pPr>
        <w:spacing w:line="440" w:lineRule="exact"/>
        <w:ind w:left="-424" w:leftChars="-202"/>
        <w:rPr>
          <w:rFonts w:ascii="仿宋" w:hAnsi="仿宋" w:eastAsia="仿宋" w:cs="仿宋"/>
          <w:bCs/>
          <w:sz w:val="30"/>
          <w:szCs w:val="30"/>
        </w:rPr>
      </w:pPr>
      <w:r>
        <w:rPr>
          <w:rFonts w:hint="eastAsia" w:ascii="仿宋" w:hAnsi="仿宋" w:eastAsia="仿宋" w:cs="仿宋"/>
          <w:bCs/>
          <w:sz w:val="30"/>
          <w:szCs w:val="30"/>
        </w:rPr>
        <w:t xml:space="preserve">    资金集中管理的主要实现形式：资金集中监控系统；共用银行集中账户；内部银行；结算中心；财务中心</w:t>
      </w:r>
    </w:p>
    <w:p>
      <w:pPr>
        <w:spacing w:line="440" w:lineRule="exact"/>
        <w:ind w:left="-424" w:leftChars="-202" w:firstLine="600"/>
        <w:rPr>
          <w:rFonts w:ascii="仿宋" w:hAnsi="仿宋" w:eastAsia="仿宋" w:cs="仿宋"/>
          <w:bCs/>
          <w:sz w:val="30"/>
          <w:szCs w:val="30"/>
        </w:rPr>
      </w:pPr>
      <w:r>
        <w:rPr>
          <w:rFonts w:hint="eastAsia" w:ascii="仿宋" w:hAnsi="仿宋" w:eastAsia="仿宋" w:cs="仿宋"/>
          <w:bCs/>
          <w:sz w:val="30"/>
          <w:szCs w:val="30"/>
        </w:rPr>
        <w:t>流动性管理：流动性管理的内涵；现金管理；存货管理；应收与应付款管理；营运资本投融资策略</w:t>
      </w:r>
    </w:p>
    <w:p>
      <w:pPr>
        <w:spacing w:line="440" w:lineRule="exact"/>
        <w:ind w:left="-424" w:leftChars="-202" w:firstLine="600"/>
        <w:rPr>
          <w:rFonts w:ascii="仿宋" w:hAnsi="仿宋" w:eastAsia="仿宋" w:cs="仿宋"/>
          <w:bCs/>
          <w:sz w:val="30"/>
          <w:szCs w:val="30"/>
        </w:rPr>
      </w:pPr>
      <w:r>
        <w:rPr>
          <w:rFonts w:hint="eastAsia" w:ascii="仿宋" w:hAnsi="仿宋" w:eastAsia="仿宋" w:cs="仿宋"/>
          <w:bCs/>
          <w:sz w:val="30"/>
          <w:szCs w:val="30"/>
        </w:rPr>
        <w:t>资金分析与规划：分析方法；资金预算</w:t>
      </w:r>
    </w:p>
    <w:p>
      <w:pPr>
        <w:spacing w:line="440" w:lineRule="exact"/>
        <w:ind w:leftChars="-203" w:hanging="428" w:hangingChars="142"/>
        <w:rPr>
          <w:rFonts w:ascii="仿宋_GB2312" w:hAnsi="宋体" w:eastAsia="仿宋_GB2312" w:cs="仿宋"/>
          <w:b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3、财务战略与投融资实务</w:t>
      </w:r>
    </w:p>
    <w:p>
      <w:pPr>
        <w:spacing w:line="440" w:lineRule="exact"/>
        <w:ind w:left="-424" w:leftChars="-202" w:firstLine="600"/>
        <w:rPr>
          <w:rFonts w:ascii="仿宋" w:hAnsi="仿宋" w:eastAsia="仿宋" w:cs="仿宋"/>
          <w:bCs/>
          <w:sz w:val="30"/>
          <w:szCs w:val="30"/>
        </w:rPr>
      </w:pPr>
      <w:r>
        <w:rPr>
          <w:rFonts w:ascii="仿宋" w:hAnsi="仿宋" w:eastAsia="仿宋" w:cs="仿宋"/>
          <w:bCs/>
          <w:sz w:val="30"/>
          <w:szCs w:val="30"/>
        </w:rPr>
        <w:t>财务战略的价值</w:t>
      </w:r>
      <w:r>
        <w:rPr>
          <w:rFonts w:hint="eastAsia" w:ascii="仿宋" w:hAnsi="仿宋" w:eastAsia="仿宋" w:cs="仿宋"/>
          <w:bCs/>
          <w:sz w:val="30"/>
          <w:szCs w:val="30"/>
        </w:rPr>
        <w:t>：</w:t>
      </w:r>
      <w:r>
        <w:rPr>
          <w:rFonts w:ascii="仿宋" w:hAnsi="仿宋" w:eastAsia="仿宋" w:cs="仿宋"/>
          <w:bCs/>
          <w:sz w:val="30"/>
          <w:szCs w:val="30"/>
        </w:rPr>
        <w:t>合理规划企业未来发展蓝图</w:t>
      </w:r>
      <w:r>
        <w:rPr>
          <w:rFonts w:hint="eastAsia" w:ascii="仿宋" w:hAnsi="仿宋" w:eastAsia="仿宋" w:cs="仿宋"/>
          <w:bCs/>
          <w:sz w:val="30"/>
          <w:szCs w:val="30"/>
        </w:rPr>
        <w:t>；财务战略</w:t>
      </w:r>
      <w:r>
        <w:rPr>
          <w:rFonts w:ascii="仿宋" w:hAnsi="仿宋" w:eastAsia="仿宋" w:cs="仿宋"/>
          <w:bCs/>
          <w:sz w:val="30"/>
          <w:szCs w:val="30"/>
        </w:rPr>
        <w:t>案例解析</w:t>
      </w:r>
      <w:r>
        <w:rPr>
          <w:rFonts w:hint="eastAsia" w:ascii="仿宋" w:hAnsi="仿宋" w:eastAsia="仿宋" w:cs="仿宋"/>
          <w:bCs/>
          <w:sz w:val="30"/>
          <w:szCs w:val="30"/>
        </w:rPr>
        <w:t>、</w:t>
      </w:r>
      <w:r>
        <w:rPr>
          <w:rFonts w:ascii="仿宋" w:hAnsi="仿宋" w:eastAsia="仿宋" w:cs="仿宋"/>
          <w:bCs/>
          <w:sz w:val="30"/>
          <w:szCs w:val="30"/>
        </w:rPr>
        <w:t>借鉴</w:t>
      </w:r>
      <w:r>
        <w:rPr>
          <w:rFonts w:hint="eastAsia" w:ascii="仿宋" w:hAnsi="仿宋" w:eastAsia="仿宋" w:cs="仿宋"/>
          <w:bCs/>
          <w:sz w:val="30"/>
          <w:szCs w:val="30"/>
        </w:rPr>
        <w:t>；如何</w:t>
      </w:r>
      <w:r>
        <w:rPr>
          <w:rFonts w:ascii="仿宋" w:hAnsi="仿宋" w:eastAsia="仿宋" w:cs="仿宋"/>
          <w:bCs/>
          <w:sz w:val="30"/>
          <w:szCs w:val="30"/>
        </w:rPr>
        <w:t>对企业经营活动的价值进行有效管理和支持</w:t>
      </w:r>
    </w:p>
    <w:p>
      <w:pPr>
        <w:spacing w:line="440" w:lineRule="exact"/>
        <w:ind w:left="-424" w:leftChars="-202" w:firstLine="600"/>
        <w:rPr>
          <w:rFonts w:ascii="仿宋" w:hAnsi="仿宋" w:eastAsia="仿宋" w:cs="仿宋"/>
          <w:bCs/>
          <w:sz w:val="30"/>
          <w:szCs w:val="30"/>
        </w:rPr>
      </w:pPr>
      <w:r>
        <w:rPr>
          <w:rFonts w:ascii="仿宋" w:hAnsi="仿宋" w:eastAsia="仿宋" w:cs="仿宋"/>
          <w:bCs/>
          <w:sz w:val="30"/>
          <w:szCs w:val="30"/>
        </w:rPr>
        <w:t>企业投融资实务</w:t>
      </w:r>
      <w:r>
        <w:rPr>
          <w:rFonts w:hint="eastAsia" w:ascii="仿宋" w:hAnsi="仿宋" w:eastAsia="仿宋" w:cs="仿宋"/>
          <w:bCs/>
          <w:sz w:val="30"/>
          <w:szCs w:val="30"/>
        </w:rPr>
        <w:t>：</w:t>
      </w:r>
      <w:r>
        <w:rPr>
          <w:rFonts w:ascii="仿宋" w:hAnsi="仿宋" w:eastAsia="仿宋" w:cs="仿宋"/>
          <w:bCs/>
          <w:sz w:val="30"/>
          <w:szCs w:val="30"/>
        </w:rPr>
        <w:t>企业常用的投融资方式</w:t>
      </w:r>
      <w:r>
        <w:rPr>
          <w:rFonts w:hint="eastAsia" w:ascii="仿宋" w:hAnsi="仿宋" w:eastAsia="仿宋" w:cs="仿宋"/>
          <w:bCs/>
          <w:sz w:val="30"/>
          <w:szCs w:val="30"/>
        </w:rPr>
        <w:t>；</w:t>
      </w:r>
      <w:r>
        <w:rPr>
          <w:rFonts w:ascii="仿宋" w:hAnsi="仿宋" w:eastAsia="仿宋" w:cs="仿宋"/>
          <w:bCs/>
          <w:sz w:val="30"/>
          <w:szCs w:val="30"/>
        </w:rPr>
        <w:t>企业如何制定合理的投融资策略</w:t>
      </w:r>
      <w:r>
        <w:rPr>
          <w:rFonts w:hint="eastAsia" w:ascii="仿宋" w:hAnsi="仿宋" w:eastAsia="仿宋" w:cs="仿宋"/>
          <w:bCs/>
          <w:sz w:val="30"/>
          <w:szCs w:val="30"/>
        </w:rPr>
        <w:t>；</w:t>
      </w:r>
      <w:r>
        <w:rPr>
          <w:rFonts w:ascii="仿宋" w:hAnsi="仿宋" w:eastAsia="仿宋" w:cs="仿宋"/>
          <w:bCs/>
          <w:sz w:val="30"/>
          <w:szCs w:val="30"/>
        </w:rPr>
        <w:t>金融脱媒与利率市场化</w:t>
      </w:r>
      <w:r>
        <w:rPr>
          <w:rFonts w:hint="eastAsia" w:ascii="仿宋" w:hAnsi="仿宋" w:eastAsia="仿宋" w:cs="仿宋"/>
          <w:bCs/>
          <w:sz w:val="30"/>
          <w:szCs w:val="30"/>
        </w:rPr>
        <w:t>；</w:t>
      </w:r>
      <w:r>
        <w:rPr>
          <w:rFonts w:ascii="仿宋" w:hAnsi="仿宋" w:eastAsia="仿宋" w:cs="仿宋"/>
          <w:bCs/>
          <w:sz w:val="30"/>
          <w:szCs w:val="30"/>
        </w:rPr>
        <w:t>多层次资本市场发展</w:t>
      </w:r>
      <w:r>
        <w:rPr>
          <w:rFonts w:hint="eastAsia" w:ascii="仿宋" w:hAnsi="仿宋" w:eastAsia="仿宋" w:cs="仿宋"/>
          <w:bCs/>
          <w:sz w:val="30"/>
          <w:szCs w:val="30"/>
        </w:rPr>
        <w:t>；</w:t>
      </w:r>
      <w:r>
        <w:rPr>
          <w:rFonts w:ascii="仿宋" w:hAnsi="仿宋" w:eastAsia="仿宋" w:cs="仿宋"/>
          <w:bCs/>
          <w:sz w:val="30"/>
          <w:szCs w:val="30"/>
        </w:rPr>
        <w:t>投融资工具与创新（私募股权融资、信托、可转债与可交换债、融资租赁、资产证券化等</w:t>
      </w:r>
      <w:r>
        <w:rPr>
          <w:rFonts w:hint="eastAsia" w:ascii="仿宋" w:hAnsi="仿宋" w:eastAsia="仿宋" w:cs="仿宋"/>
          <w:bCs/>
          <w:sz w:val="30"/>
          <w:szCs w:val="30"/>
        </w:rPr>
        <w:t>）</w:t>
      </w:r>
    </w:p>
    <w:p>
      <w:pPr>
        <w:spacing w:line="440" w:lineRule="exact"/>
        <w:ind w:leftChars="-203" w:hanging="428" w:hangingChars="142"/>
        <w:jc w:val="left"/>
        <w:rPr>
          <w:rFonts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4、企业司库建设理论与实务</w:t>
      </w:r>
    </w:p>
    <w:p>
      <w:pPr>
        <w:spacing w:line="440" w:lineRule="exact"/>
        <w:ind w:left="-424" w:leftChars="-202"/>
        <w:rPr>
          <w:rFonts w:ascii="仿宋" w:hAnsi="仿宋" w:eastAsia="仿宋" w:cs="仿宋"/>
          <w:bCs/>
          <w:sz w:val="30"/>
          <w:szCs w:val="30"/>
        </w:rPr>
      </w:pPr>
      <w:r>
        <w:rPr>
          <w:rFonts w:hint="eastAsia" w:ascii="仿宋" w:hAnsi="仿宋" w:eastAsia="仿宋" w:cs="仿宋"/>
          <w:bCs/>
          <w:sz w:val="30"/>
          <w:szCs w:val="30"/>
        </w:rPr>
        <w:t xml:space="preserve">    企业司库建设；资金管理集中化、财务公司与司库管理的关系；财务共享服务中心如何发挥司库的部分职能；司库在企业集团财务管理中的角色定位；有关最新司库的理论与实践发展</w:t>
      </w:r>
    </w:p>
    <w:p>
      <w:pPr>
        <w:spacing w:line="440" w:lineRule="exact"/>
        <w:ind w:left="-424" w:leftChars="-202"/>
        <w:rPr>
          <w:rFonts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5、大数据金融</w:t>
      </w:r>
    </w:p>
    <w:p>
      <w:pPr>
        <w:spacing w:line="440" w:lineRule="exact"/>
        <w:ind w:left="-424" w:leftChars="-202"/>
        <w:rPr>
          <w:rFonts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Cs/>
          <w:sz w:val="30"/>
          <w:szCs w:val="30"/>
        </w:rPr>
        <w:t xml:space="preserve">    </w:t>
      </w:r>
      <w:r>
        <w:rPr>
          <w:rFonts w:ascii="仿宋" w:hAnsi="仿宋" w:eastAsia="仿宋" w:cs="仿宋"/>
          <w:bCs/>
          <w:sz w:val="30"/>
          <w:szCs w:val="30"/>
        </w:rPr>
        <w:t>供应链金融</w:t>
      </w:r>
      <w:r>
        <w:rPr>
          <w:rFonts w:hint="eastAsia" w:ascii="仿宋" w:hAnsi="仿宋" w:eastAsia="仿宋" w:cs="仿宋"/>
          <w:bCs/>
          <w:sz w:val="30"/>
          <w:szCs w:val="30"/>
        </w:rPr>
        <w:t>；互联网金融；大数据与公司金融；区块链与公司金融等</w:t>
      </w:r>
    </w:p>
    <w:p>
      <w:pPr>
        <w:spacing w:line="440" w:lineRule="exact"/>
        <w:ind w:leftChars="-203" w:hanging="428" w:hangingChars="142"/>
        <w:jc w:val="left"/>
        <w:rPr>
          <w:rFonts w:ascii="仿宋" w:hAnsi="仿宋" w:eastAsia="仿宋" w:cs="仿宋"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6、集团资金管理信息化建设实务</w:t>
      </w:r>
    </w:p>
    <w:p>
      <w:pPr>
        <w:spacing w:line="120" w:lineRule="exact"/>
        <w:ind w:right="-483" w:rightChars="-230"/>
        <w:rPr>
          <w:rFonts w:ascii="仿宋_GB2312" w:hAnsi="宋体" w:eastAsia="仿宋_GB2312" w:cs="仿宋"/>
          <w:sz w:val="30"/>
          <w:szCs w:val="30"/>
        </w:rPr>
      </w:pPr>
    </w:p>
    <w:p>
      <w:pPr>
        <w:snapToGrid w:val="0"/>
        <w:spacing w:line="400" w:lineRule="exact"/>
        <w:ind w:left="-426" w:leftChars="-203" w:right="-483" w:rightChars="-230"/>
        <w:rPr>
          <w:rFonts w:ascii="仿宋" w:hAnsi="仿宋" w:eastAsia="仿宋" w:cs="Arial"/>
          <w:b/>
          <w:bCs/>
          <w:kern w:val="0"/>
          <w:sz w:val="30"/>
          <w:szCs w:val="30"/>
        </w:rPr>
      </w:pPr>
      <w:r>
        <w:rPr>
          <w:rFonts w:hint="eastAsia" w:ascii="仿宋" w:hAnsi="仿宋" w:eastAsia="仿宋" w:cs="Arial"/>
          <w:b/>
          <w:bCs/>
          <w:kern w:val="0"/>
          <w:sz w:val="30"/>
          <w:szCs w:val="30"/>
        </w:rPr>
        <w:t>四、师资力量</w:t>
      </w:r>
    </w:p>
    <w:p>
      <w:pPr>
        <w:widowControl/>
        <w:spacing w:line="440" w:lineRule="exact"/>
        <w:ind w:left="-426" w:leftChars="-203" w:right="-483" w:rightChars="-230"/>
        <w:jc w:val="left"/>
        <w:rPr>
          <w:rFonts w:ascii="仿宋_GB2312" w:hAnsi="宋体" w:eastAsia="仿宋_GB2312" w:cs="仿宋"/>
          <w:sz w:val="30"/>
          <w:szCs w:val="30"/>
        </w:rPr>
      </w:pPr>
      <w:r>
        <w:rPr>
          <w:rFonts w:hint="eastAsia" w:ascii="仿宋_GB2312" w:hAnsi="宋体" w:eastAsia="仿宋_GB2312" w:cs="仿宋"/>
          <w:sz w:val="30"/>
          <w:szCs w:val="30"/>
        </w:rPr>
        <w:t xml:space="preserve">   </w:t>
      </w:r>
      <w:r>
        <w:rPr>
          <w:rFonts w:hint="eastAsia" w:ascii="仿宋" w:hAnsi="仿宋" w:eastAsia="仿宋" w:cs="仿宋"/>
          <w:sz w:val="30"/>
          <w:szCs w:val="30"/>
        </w:rPr>
        <w:t xml:space="preserve"> 政府机关、学院、企业界等具有深厚理论功底和丰富实践经验的专家和教授组成</w:t>
      </w:r>
    </w:p>
    <w:p>
      <w:pPr>
        <w:snapToGrid w:val="0"/>
        <w:spacing w:line="400" w:lineRule="exact"/>
        <w:ind w:left="-426" w:leftChars="-203" w:right="-483" w:rightChars="-230"/>
        <w:rPr>
          <w:rFonts w:ascii="仿宋" w:hAnsi="仿宋" w:eastAsia="仿宋" w:cs="仿宋"/>
          <w:b/>
          <w:sz w:val="30"/>
          <w:szCs w:val="30"/>
        </w:rPr>
      </w:pPr>
      <w:r>
        <w:rPr>
          <w:rFonts w:hint="eastAsia" w:ascii="仿宋" w:hAnsi="仿宋" w:eastAsia="仿宋" w:cs="仿宋"/>
          <w:b/>
          <w:sz w:val="30"/>
          <w:szCs w:val="30"/>
        </w:rPr>
        <w:t>五、培训费用</w:t>
      </w:r>
    </w:p>
    <w:p>
      <w:pPr>
        <w:widowControl/>
        <w:spacing w:line="440" w:lineRule="exact"/>
        <w:ind w:left="-426" w:leftChars="-203" w:right="-483" w:rightChars="-230"/>
        <w:jc w:val="left"/>
        <w:rPr>
          <w:rFonts w:ascii="仿宋" w:hAnsi="仿宋" w:eastAsia="仿宋" w:cs="仿宋"/>
          <w:bCs/>
          <w:color w:val="000000"/>
          <w:sz w:val="28"/>
          <w:szCs w:val="28"/>
        </w:rPr>
      </w:pPr>
      <w:r>
        <w:rPr>
          <w:rFonts w:hint="eastAsia" w:ascii="仿宋_GB2312" w:hAnsi="宋体" w:eastAsia="仿宋_GB2312" w:cs="仿宋"/>
          <w:sz w:val="30"/>
          <w:szCs w:val="30"/>
        </w:rPr>
        <w:t xml:space="preserve">  </w:t>
      </w:r>
      <w:r>
        <w:rPr>
          <w:rFonts w:hint="eastAsia" w:ascii="仿宋" w:hAnsi="仿宋" w:eastAsia="仿宋" w:cs="仿宋"/>
          <w:sz w:val="30"/>
          <w:szCs w:val="30"/>
        </w:rPr>
        <w:t xml:space="preserve">  每期次培训费均为</w:t>
      </w:r>
      <w:r>
        <w:rPr>
          <w:rFonts w:ascii="仿宋" w:hAnsi="仿宋" w:eastAsia="仿宋" w:cs="仿宋"/>
          <w:sz w:val="30"/>
          <w:szCs w:val="30"/>
        </w:rPr>
        <w:t>2900</w:t>
      </w:r>
      <w:r>
        <w:rPr>
          <w:rFonts w:hint="eastAsia" w:ascii="仿宋" w:hAnsi="仿宋" w:eastAsia="仿宋" w:cs="仿宋"/>
          <w:sz w:val="30"/>
          <w:szCs w:val="30"/>
        </w:rPr>
        <w:t>元</w:t>
      </w:r>
      <w:r>
        <w:rPr>
          <w:rFonts w:ascii="仿宋" w:hAnsi="仿宋" w:eastAsia="仿宋" w:cs="仿宋"/>
          <w:sz w:val="30"/>
          <w:szCs w:val="30"/>
        </w:rPr>
        <w:t>/</w:t>
      </w:r>
      <w:r>
        <w:rPr>
          <w:rFonts w:hint="eastAsia" w:ascii="仿宋" w:hAnsi="仿宋" w:eastAsia="仿宋" w:cs="仿宋"/>
          <w:sz w:val="30"/>
          <w:szCs w:val="30"/>
        </w:rPr>
        <w:t>人</w:t>
      </w:r>
      <w:r>
        <w:rPr>
          <w:rFonts w:ascii="仿宋" w:hAnsi="仿宋" w:eastAsia="仿宋" w:cs="仿宋"/>
          <w:sz w:val="30"/>
          <w:szCs w:val="30"/>
        </w:rPr>
        <w:t>(</w:t>
      </w:r>
      <w:r>
        <w:rPr>
          <w:rFonts w:hint="eastAsia" w:ascii="仿宋" w:hAnsi="仿宋" w:eastAsia="仿宋" w:cs="仿宋"/>
          <w:sz w:val="30"/>
          <w:szCs w:val="30"/>
        </w:rPr>
        <w:t>包括专家授课费、资料费、教学场租设备费等</w:t>
      </w:r>
      <w:r>
        <w:rPr>
          <w:rFonts w:ascii="仿宋" w:hAnsi="仿宋" w:eastAsia="仿宋" w:cs="仿宋"/>
          <w:sz w:val="30"/>
          <w:szCs w:val="30"/>
        </w:rPr>
        <w:t>)</w:t>
      </w:r>
      <w:r>
        <w:rPr>
          <w:rFonts w:hint="eastAsia" w:ascii="仿宋" w:hAnsi="仿宋" w:eastAsia="仿宋" w:cs="仿宋"/>
          <w:sz w:val="30"/>
          <w:szCs w:val="30"/>
        </w:rPr>
        <w:t>。住宿和用餐统一安排，费用自理；交通费用自理</w:t>
      </w:r>
    </w:p>
    <w:p>
      <w:pPr>
        <w:snapToGrid w:val="0"/>
        <w:spacing w:line="400" w:lineRule="exact"/>
        <w:ind w:left="-426" w:leftChars="-203" w:right="-483" w:rightChars="-230"/>
        <w:rPr>
          <w:rFonts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六、培训证书</w:t>
      </w:r>
    </w:p>
    <w:p>
      <w:pPr>
        <w:widowControl/>
        <w:spacing w:line="440" w:lineRule="exact"/>
        <w:ind w:left="-426" w:leftChars="-203" w:right="-483" w:rightChars="-230" w:firstLine="520"/>
        <w:jc w:val="left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培训班学习期满，完成教学计划规定的全部课程，由中国总会计师协会颁发《财务岗位培训证书》</w:t>
      </w:r>
    </w:p>
    <w:p>
      <w:pPr>
        <w:widowControl/>
        <w:spacing w:line="440" w:lineRule="exact"/>
        <w:ind w:left="-426" w:leftChars="-203" w:right="-483" w:rightChars="-230"/>
        <w:jc w:val="left"/>
        <w:rPr>
          <w:rFonts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七、其他</w:t>
      </w:r>
    </w:p>
    <w:p>
      <w:pPr>
        <w:widowControl/>
        <w:spacing w:line="440" w:lineRule="exact"/>
        <w:ind w:left="-426" w:leftChars="-203" w:right="-483" w:rightChars="-230"/>
        <w:jc w:val="left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   研讨培训将根据情况安排到企业现场参观交流，欢迎推荐或自荐！</w:t>
      </w:r>
    </w:p>
    <w:p>
      <w:pPr>
        <w:spacing w:line="440" w:lineRule="exact"/>
        <w:ind w:left="-426" w:leftChars="-203" w:right="-483" w:rightChars="-230"/>
        <w:rPr>
          <w:rFonts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八、报名联系方式</w:t>
      </w:r>
    </w:p>
    <w:p>
      <w:pPr>
        <w:widowControl/>
        <w:spacing w:line="440" w:lineRule="exact"/>
        <w:ind w:left="-426" w:leftChars="-203" w:right="-483" w:rightChars="-230"/>
        <w:jc w:val="left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_GB2312" w:hAnsi="宋体" w:eastAsia="仿宋_GB2312" w:cs="仿宋"/>
          <w:sz w:val="30"/>
          <w:szCs w:val="30"/>
        </w:rPr>
        <w:t xml:space="preserve">   </w:t>
      </w:r>
      <w:r>
        <w:rPr>
          <w:rFonts w:hint="eastAsia" w:ascii="仿宋" w:hAnsi="仿宋" w:eastAsia="仿宋" w:cs="仿宋"/>
          <w:sz w:val="30"/>
          <w:szCs w:val="30"/>
        </w:rPr>
        <w:t>联系人：崔老师</w:t>
      </w:r>
      <w:r>
        <w:rPr>
          <w:rFonts w:ascii="仿宋" w:hAnsi="仿宋" w:eastAsia="仿宋" w:cs="仿宋"/>
          <w:sz w:val="30"/>
          <w:szCs w:val="30"/>
        </w:rPr>
        <w:t xml:space="preserve">          </w:t>
      </w:r>
      <w:r>
        <w:rPr>
          <w:rFonts w:hint="eastAsia" w:ascii="仿宋" w:hAnsi="仿宋" w:eastAsia="仿宋" w:cs="仿宋"/>
          <w:sz w:val="30"/>
          <w:szCs w:val="30"/>
        </w:rPr>
        <w:t xml:space="preserve"> 电话：</w:t>
      </w:r>
      <w:r>
        <w:rPr>
          <w:rFonts w:ascii="仿宋" w:hAnsi="仿宋" w:eastAsia="仿宋" w:cs="仿宋"/>
          <w:sz w:val="30"/>
          <w:szCs w:val="30"/>
        </w:rPr>
        <w:t>010-</w:t>
      </w:r>
      <w:r>
        <w:rPr>
          <w:rFonts w:hint="eastAsia" w:ascii="仿宋" w:hAnsi="仿宋" w:eastAsia="仿宋" w:cs="仿宋"/>
          <w:sz w:val="30"/>
          <w:szCs w:val="30"/>
        </w:rPr>
        <w:t>63381767</w:t>
      </w:r>
    </w:p>
    <w:p>
      <w:pPr>
        <w:widowControl/>
        <w:spacing w:line="440" w:lineRule="exact"/>
        <w:ind w:left="-426" w:leftChars="-203" w:right="-483" w:rightChars="-230"/>
        <w:jc w:val="left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  传真：</w:t>
      </w:r>
      <w:r>
        <w:rPr>
          <w:rFonts w:ascii="仿宋" w:hAnsi="仿宋" w:eastAsia="仿宋" w:cs="仿宋"/>
          <w:sz w:val="30"/>
          <w:szCs w:val="30"/>
        </w:rPr>
        <w:t>010-</w:t>
      </w:r>
      <w:r>
        <w:rPr>
          <w:rFonts w:hint="eastAsia" w:ascii="仿宋" w:hAnsi="仿宋" w:eastAsia="仿宋" w:cs="仿宋"/>
          <w:sz w:val="30"/>
          <w:szCs w:val="30"/>
        </w:rPr>
        <w:t>63381780</w:t>
      </w:r>
      <w:r>
        <w:rPr>
          <w:rFonts w:ascii="仿宋" w:hAnsi="仿宋" w:eastAsia="仿宋" w:cs="仿宋"/>
          <w:sz w:val="30"/>
          <w:szCs w:val="30"/>
        </w:rPr>
        <w:t xml:space="preserve">   </w:t>
      </w:r>
      <w:r>
        <w:rPr>
          <w:rFonts w:hint="eastAsia"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</w:rPr>
        <w:t>邮箱：cfo</w:t>
      </w:r>
      <w:r>
        <w:rPr>
          <w:rFonts w:ascii="仿宋" w:hAnsi="仿宋" w:eastAsia="仿宋" w:cs="仿宋"/>
          <w:sz w:val="30"/>
          <w:szCs w:val="30"/>
        </w:rPr>
        <w:t>@</w:t>
      </w:r>
      <w:r>
        <w:rPr>
          <w:rFonts w:hint="eastAsia" w:ascii="仿宋" w:hAnsi="仿宋" w:eastAsia="仿宋" w:cs="仿宋"/>
          <w:sz w:val="30"/>
          <w:szCs w:val="30"/>
        </w:rPr>
        <w:t>cmcfo</w:t>
      </w:r>
      <w:r>
        <w:rPr>
          <w:rFonts w:ascii="仿宋" w:hAnsi="仿宋" w:eastAsia="仿宋" w:cs="仿宋"/>
          <w:sz w:val="30"/>
          <w:szCs w:val="30"/>
        </w:rPr>
        <w:t>.c</w:t>
      </w:r>
      <w:r>
        <w:rPr>
          <w:rFonts w:hint="eastAsia" w:ascii="仿宋" w:hAnsi="仿宋" w:eastAsia="仿宋" w:cs="仿宋"/>
          <w:sz w:val="30"/>
          <w:szCs w:val="30"/>
        </w:rPr>
        <w:t>n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355A92"/>
    <w:multiLevelType w:val="multilevel"/>
    <w:tmpl w:val="4F355A92"/>
    <w:lvl w:ilvl="0" w:tentative="0">
      <w:start w:val="2"/>
      <w:numFmt w:val="japaneseCounting"/>
      <w:lvlText w:val="%1、"/>
      <w:lvlJc w:val="left"/>
      <w:pPr>
        <w:ind w:left="294" w:hanging="7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534" w:hanging="480"/>
      </w:pPr>
    </w:lvl>
    <w:lvl w:ilvl="2" w:tentative="0">
      <w:start w:val="1"/>
      <w:numFmt w:val="lowerRoman"/>
      <w:lvlText w:val="%3."/>
      <w:lvlJc w:val="right"/>
      <w:pPr>
        <w:ind w:left="1014" w:hanging="480"/>
      </w:pPr>
    </w:lvl>
    <w:lvl w:ilvl="3" w:tentative="0">
      <w:start w:val="1"/>
      <w:numFmt w:val="decimal"/>
      <w:lvlText w:val="%4."/>
      <w:lvlJc w:val="left"/>
      <w:pPr>
        <w:ind w:left="1494" w:hanging="480"/>
      </w:pPr>
    </w:lvl>
    <w:lvl w:ilvl="4" w:tentative="0">
      <w:start w:val="1"/>
      <w:numFmt w:val="lowerLetter"/>
      <w:lvlText w:val="%5)"/>
      <w:lvlJc w:val="left"/>
      <w:pPr>
        <w:ind w:left="1974" w:hanging="480"/>
      </w:pPr>
    </w:lvl>
    <w:lvl w:ilvl="5" w:tentative="0">
      <w:start w:val="1"/>
      <w:numFmt w:val="lowerRoman"/>
      <w:lvlText w:val="%6."/>
      <w:lvlJc w:val="right"/>
      <w:pPr>
        <w:ind w:left="2454" w:hanging="480"/>
      </w:pPr>
    </w:lvl>
    <w:lvl w:ilvl="6" w:tentative="0">
      <w:start w:val="1"/>
      <w:numFmt w:val="decimal"/>
      <w:lvlText w:val="%7."/>
      <w:lvlJc w:val="left"/>
      <w:pPr>
        <w:ind w:left="2934" w:hanging="480"/>
      </w:pPr>
    </w:lvl>
    <w:lvl w:ilvl="7" w:tentative="0">
      <w:start w:val="1"/>
      <w:numFmt w:val="lowerLetter"/>
      <w:lvlText w:val="%8)"/>
      <w:lvlJc w:val="left"/>
      <w:pPr>
        <w:ind w:left="3414" w:hanging="480"/>
      </w:pPr>
    </w:lvl>
    <w:lvl w:ilvl="8" w:tentative="0">
      <w:start w:val="1"/>
      <w:numFmt w:val="lowerRoman"/>
      <w:lvlText w:val="%9."/>
      <w:lvlJc w:val="right"/>
      <w:pPr>
        <w:ind w:left="3894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3B5889"/>
    <w:rsid w:val="763B5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2019-06-12T01:30:00Z</dcterms:created>
  <dc:creator>桑立强</dc:creator>
  <cp:lastModifiedBy>桑立强</cp:lastModifiedBy>
  <dcterms:modified xsi:type="dcterms:W3CDTF">2019-06-12T01:31:26Z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2052-11.1.0.8584</vt:lpwstr>
  </property>
</Properties>
</file>