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420" w:lineRule="exact"/>
        <w:ind w:left="-426" w:leftChars="-203" w:right="-483" w:rightChars="-230"/>
        <w:jc w:val="center"/>
        <w:rPr>
          <w:rFonts w:cs="黑体"/>
          <w:b/>
          <w:bCs/>
          <w:kern w:val="10"/>
          <w:sz w:val="36"/>
          <w:szCs w:val="36"/>
        </w:rPr>
      </w:pPr>
      <w:r>
        <w:rPr>
          <w:rFonts w:hint="eastAsia" w:cs="黑体"/>
          <w:b/>
          <w:bCs/>
          <w:kern w:val="10"/>
          <w:sz w:val="36"/>
          <w:szCs w:val="36"/>
        </w:rPr>
        <w:t>“税收新政、涉税风险管控与税务信息化”“资金管理模式创新、大数据金融及财务战略与投融资实务”</w:t>
      </w:r>
    </w:p>
    <w:p>
      <w:pPr>
        <w:spacing w:line="420" w:lineRule="exact"/>
        <w:ind w:left="-426" w:leftChars="-203" w:right="-483" w:rightChars="-230"/>
        <w:jc w:val="center"/>
        <w:rPr>
          <w:rFonts w:cs="黑体"/>
          <w:b/>
          <w:bCs/>
          <w:kern w:val="10"/>
          <w:sz w:val="32"/>
          <w:szCs w:val="32"/>
        </w:rPr>
      </w:pPr>
      <w:r>
        <w:rPr>
          <w:rFonts w:hint="eastAsia" w:ascii="宋体" w:hAnsi="宋体" w:cs="黑体"/>
          <w:b/>
          <w:bCs/>
          <w:kern w:val="10"/>
          <w:sz w:val="36"/>
          <w:szCs w:val="36"/>
        </w:rPr>
        <w:t>专题研讨活动</w:t>
      </w:r>
      <w:r>
        <w:rPr>
          <w:rFonts w:hint="eastAsia" w:ascii="宋体" w:hAnsi="宋体" w:cs="仿宋"/>
          <w:b/>
          <w:sz w:val="36"/>
          <w:szCs w:val="36"/>
        </w:rPr>
        <w:t>工作方案</w:t>
      </w:r>
    </w:p>
    <w:p>
      <w:pPr>
        <w:spacing w:before="468" w:beforeLines="150" w:line="42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主办单位：中国总会计师协会</w:t>
      </w:r>
    </w:p>
    <w:p>
      <w:pPr>
        <w:spacing w:after="156" w:afterLines="50" w:line="42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承办单位：《中国总会计师》杂志社</w:t>
      </w:r>
    </w:p>
    <w:p>
      <w:pPr>
        <w:widowControl/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一、时间地点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专题一：税收新政、涉税风险管控与税务信息化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</w:t>
      </w:r>
      <w:r>
        <w:rPr>
          <w:rFonts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</w:rPr>
        <w:t>9年10月20日</w:t>
      </w:r>
      <w:r>
        <w:rPr>
          <w:rFonts w:ascii="仿宋" w:hAnsi="仿宋" w:eastAsia="仿宋" w:cs="仿宋"/>
          <w:sz w:val="30"/>
          <w:szCs w:val="30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24日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地点：长沙市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专题二: 资金管理模式创新、大数据金融及财务战略与投融资实务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时间：2019年11月17日—21日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地点：深圳市</w:t>
      </w:r>
    </w:p>
    <w:p>
      <w:pPr>
        <w:spacing w:line="440" w:lineRule="exact"/>
        <w:ind w:left="-425" w:leftChars="-203" w:right="-483" w:rightChars="-230" w:hanging="1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（具体地址开会前十天见报到通知）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pStyle w:val="4"/>
        <w:numPr>
          <w:ilvl w:val="0"/>
          <w:numId w:val="1"/>
        </w:numPr>
        <w:spacing w:line="440" w:lineRule="exact"/>
        <w:ind w:right="-483" w:rightChars="-230" w:firstLineChars="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参会对象</w:t>
      </w:r>
    </w:p>
    <w:p>
      <w:pPr>
        <w:spacing w:line="440" w:lineRule="exact"/>
        <w:ind w:left="-425" w:leftChars="-203" w:right="-483" w:rightChars="-230" w:hanging="1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政府机关、企事业单位总会计师、财务总监、首席财务官、财务负责人；财务部、资金部、税务部门负责人；财务和税务经理、主管等；财务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" w:hAnsi="仿宋" w:eastAsia="仿宋" w:cs="仿宋"/>
          <w:sz w:val="30"/>
          <w:szCs w:val="30"/>
        </w:rPr>
        <w:t>CPA</w:t>
      </w:r>
      <w:r>
        <w:rPr>
          <w:rFonts w:hint="eastAsia" w:ascii="仿宋" w:hAnsi="仿宋" w:eastAsia="仿宋" w:cs="仿宋"/>
          <w:sz w:val="30"/>
          <w:szCs w:val="30"/>
        </w:rPr>
        <w:t>、咨询师；金融行业金融分析师、风险控制师；大中专院校会计专业教师；需要加强会计知识学习和提升的各单位主要负责人等</w:t>
      </w:r>
    </w:p>
    <w:p>
      <w:pPr>
        <w:spacing w:line="120" w:lineRule="exact"/>
        <w:ind w:left="-425" w:leftChars="-203" w:right="-483" w:rightChars="-230" w:hanging="1"/>
        <w:rPr>
          <w:rFonts w:ascii="仿宋_GB2312" w:hAnsi="宋体" w:eastAsia="仿宋_GB2312" w:cs="仿宋"/>
          <w:sz w:val="30"/>
          <w:szCs w:val="30"/>
        </w:rPr>
      </w:pPr>
    </w:p>
    <w:p>
      <w:pPr>
        <w:pStyle w:val="4"/>
        <w:numPr>
          <w:ilvl w:val="0"/>
          <w:numId w:val="1"/>
        </w:numPr>
        <w:spacing w:line="440" w:lineRule="exact"/>
        <w:ind w:right="-483" w:rightChars="-230" w:firstLineChars="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研讨培训内容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专题一：</w:t>
      </w:r>
      <w:r>
        <w:rPr>
          <w:rFonts w:hint="eastAsia" w:ascii="仿宋" w:hAnsi="仿宋" w:eastAsia="仿宋" w:cs="仿宋"/>
          <w:b/>
          <w:sz w:val="30"/>
          <w:szCs w:val="30"/>
        </w:rPr>
        <w:t>税收新政、涉税风险管控与税务信息化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1、最新税收政策解析与梳理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最新减税政策动态解析与实施应对；2019年最新增值税税收政策变化及影响；企业所得税政策的变化及影响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2、个人所得税法修改政策解析与社保征管改革</w:t>
      </w:r>
    </w:p>
    <w:p>
      <w:pPr>
        <w:spacing w:line="440" w:lineRule="exact"/>
        <w:ind w:left="-425" w:leftChars="-203" w:right="-483" w:rightChars="-230" w:hanging="1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</w:rPr>
        <w:t>新个人所得税法</w:t>
      </w:r>
      <w:r>
        <w:rPr>
          <w:rFonts w:hint="eastAsia" w:ascii="仿宋" w:hAnsi="仿宋" w:eastAsia="仿宋" w:cs="仿宋"/>
          <w:sz w:val="30"/>
          <w:szCs w:val="30"/>
        </w:rPr>
        <w:t>实施条例解读与</w:t>
      </w:r>
      <w:r>
        <w:rPr>
          <w:rFonts w:ascii="仿宋" w:hAnsi="仿宋" w:eastAsia="仿宋" w:cs="仿宋"/>
          <w:sz w:val="30"/>
          <w:szCs w:val="30"/>
        </w:rPr>
        <w:t>应对策略分析</w:t>
      </w:r>
      <w:r>
        <w:rPr>
          <w:rFonts w:hint="eastAsia" w:ascii="仿宋" w:hAnsi="仿宋" w:eastAsia="仿宋" w:cs="仿宋"/>
          <w:sz w:val="30"/>
          <w:szCs w:val="30"/>
        </w:rPr>
        <w:t>；社保征管体制改革政策解读；正确代扣代缴个人所得税需要关注的基本要点；综合所得按年计算个税对税负有何影响；个人所得税收筹划的误区；社保费疑难问题解析与应对办法；职工薪酬与企业所得税、个人所得税和社保费用缴纳法律界限解析</w:t>
      </w:r>
    </w:p>
    <w:p>
      <w:pPr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3、涉税风险管控</w:t>
      </w:r>
    </w:p>
    <w:p>
      <w:pPr>
        <w:spacing w:line="440" w:lineRule="exact"/>
        <w:ind w:left="-426" w:right="-483" w:rightChars="-230"/>
        <w:jc w:val="left"/>
        <w:outlineLvl w:val="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大数据背景下的企业涉税风险；税制改革和税收征管变化引发的企业涉税风险；企业涉税风险形成的主要因素及形成风险的原因；涉税风险防范案例分析</w:t>
      </w:r>
    </w:p>
    <w:p>
      <w:pPr>
        <w:spacing w:line="440" w:lineRule="exact"/>
        <w:ind w:left="-426" w:right="-483" w:rightChars="-230"/>
        <w:jc w:val="left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4、所得税汇算清缴与税收筹划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企业所得税汇算清缴最新政策梳理；汇算清缴数据资料的归集与整理，汇算清缴中的账务处理实务与纳税调整；减免税优惠与扣除凭证的实效问题；新版企业所得税申报表重大变化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5、企业会计准则和税法差异分析与纳税调整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</w:t>
      </w:r>
      <w:r>
        <w:rPr>
          <w:rFonts w:ascii="仿宋" w:hAnsi="仿宋" w:eastAsia="仿宋" w:cs="仿宋"/>
          <w:bCs/>
          <w:sz w:val="30"/>
          <w:szCs w:val="30"/>
        </w:rPr>
        <w:t>收入准则的会计与税务处理差异与协调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政府补助准则的会计与税务处理差异与协调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金融工具、金融资产转移的会计与税务处理差异与协调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套期工具、租赁准则的会计与税务处理差异协调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持有待售的非流动资产、处置组织和终止经营准则的会计处理与税务处理差异协调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6、税务共享与税务信息化</w:t>
      </w:r>
    </w:p>
    <w:p>
      <w:pPr>
        <w:spacing w:line="440" w:lineRule="exact"/>
        <w:ind w:left="-426" w:leftChars="-203" w:right="-483" w:rightChars="-230"/>
        <w:jc w:val="left"/>
        <w:outlineLvl w:val="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</w:rPr>
        <w:t>税务共享建设方案；销项票据共享，进项票据共享，结算共享；纳税申报自动化；税务共享中的风险管控；从税务共享到智能税务；企业集团税务信息化</w:t>
      </w:r>
    </w:p>
    <w:p>
      <w:pPr>
        <w:spacing w:line="120" w:lineRule="exact"/>
        <w:ind w:left="-426" w:leftChars="-203" w:right="-483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专题二：资金管理模式创新、大数据金融及财务战略与投融资实务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1、企业资金管理创新的理念与框架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现金为王与资金管理的目标；经济活动的分类与资金管理框架；营运资金的重新界定与分类；营运资金绩效评价体系创新；营运资金与财务风险评估；业务流程和商业模式创新与资金管理创新；管理体制创新与资金管理创新；混合所有制与资金管理创新；资金的时间价值与风险价值</w:t>
      </w:r>
    </w:p>
    <w:p>
      <w:pPr>
        <w:spacing w:line="440" w:lineRule="exact"/>
        <w:ind w:left="-424" w:leftChars="-203" w:hanging="2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2、企业现金流管理与控制实务</w:t>
      </w:r>
    </w:p>
    <w:p>
      <w:pPr>
        <w:spacing w:line="440" w:lineRule="exact"/>
        <w:ind w:left="-424" w:leftChars="-202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资金集中管理的主要实现形式：资金集中监控系统；共用银行集中账户；内部银行；结算中心；财务中心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流动性管理：流动性管理的内涵；现金管理；存货管理；应收与应付款管理；营运资本投融资策略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资金分析与规划：分析方法；资金预算</w:t>
      </w:r>
    </w:p>
    <w:p>
      <w:pPr>
        <w:spacing w:line="440" w:lineRule="exact"/>
        <w:ind w:leftChars="-203" w:hanging="428" w:hangingChars="142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3、财务战略与投融资实务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财务战略的价值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  <w:r>
        <w:rPr>
          <w:rFonts w:ascii="仿宋" w:hAnsi="仿宋" w:eastAsia="仿宋" w:cs="仿宋"/>
          <w:bCs/>
          <w:sz w:val="30"/>
          <w:szCs w:val="30"/>
        </w:rPr>
        <w:t>合理规划企业未来发展蓝图</w:t>
      </w:r>
      <w:r>
        <w:rPr>
          <w:rFonts w:hint="eastAsia" w:ascii="仿宋" w:hAnsi="仿宋" w:eastAsia="仿宋" w:cs="仿宋"/>
          <w:bCs/>
          <w:sz w:val="30"/>
          <w:szCs w:val="30"/>
        </w:rPr>
        <w:t>；财务战略</w:t>
      </w:r>
      <w:r>
        <w:rPr>
          <w:rFonts w:ascii="仿宋" w:hAnsi="仿宋" w:eastAsia="仿宋" w:cs="仿宋"/>
          <w:bCs/>
          <w:sz w:val="30"/>
          <w:szCs w:val="30"/>
        </w:rPr>
        <w:t>案例解析</w:t>
      </w:r>
      <w:r>
        <w:rPr>
          <w:rFonts w:hint="eastAsia" w:ascii="仿宋" w:hAnsi="仿宋" w:eastAsia="仿宋" w:cs="仿宋"/>
          <w:bCs/>
          <w:sz w:val="30"/>
          <w:szCs w:val="30"/>
        </w:rPr>
        <w:t>、</w:t>
      </w:r>
      <w:r>
        <w:rPr>
          <w:rFonts w:ascii="仿宋" w:hAnsi="仿宋" w:eastAsia="仿宋" w:cs="仿宋"/>
          <w:bCs/>
          <w:sz w:val="30"/>
          <w:szCs w:val="30"/>
        </w:rPr>
        <w:t>借鉴</w:t>
      </w:r>
      <w:r>
        <w:rPr>
          <w:rFonts w:hint="eastAsia" w:ascii="仿宋" w:hAnsi="仿宋" w:eastAsia="仿宋" w:cs="仿宋"/>
          <w:bCs/>
          <w:sz w:val="30"/>
          <w:szCs w:val="30"/>
        </w:rPr>
        <w:t>；如何</w:t>
      </w:r>
      <w:r>
        <w:rPr>
          <w:rFonts w:ascii="仿宋" w:hAnsi="仿宋" w:eastAsia="仿宋" w:cs="仿宋"/>
          <w:bCs/>
          <w:sz w:val="30"/>
          <w:szCs w:val="30"/>
        </w:rPr>
        <w:t>对企业经营活动的价值进行有效管理和支持</w:t>
      </w:r>
    </w:p>
    <w:p>
      <w:pPr>
        <w:spacing w:line="440" w:lineRule="exact"/>
        <w:ind w:left="-424" w:leftChars="-202" w:firstLine="600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企业投融资实务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  <w:r>
        <w:rPr>
          <w:rFonts w:ascii="仿宋" w:hAnsi="仿宋" w:eastAsia="仿宋" w:cs="仿宋"/>
          <w:bCs/>
          <w:sz w:val="30"/>
          <w:szCs w:val="30"/>
        </w:rPr>
        <w:t>企业常用的投融资方式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企业如何制定合理的投融资策略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金融脱媒与利率市场化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多层次资本市场发展</w:t>
      </w:r>
      <w:r>
        <w:rPr>
          <w:rFonts w:hint="eastAsia" w:ascii="仿宋" w:hAnsi="仿宋" w:eastAsia="仿宋" w:cs="仿宋"/>
          <w:bCs/>
          <w:sz w:val="30"/>
          <w:szCs w:val="30"/>
        </w:rPr>
        <w:t>；</w:t>
      </w:r>
      <w:r>
        <w:rPr>
          <w:rFonts w:ascii="仿宋" w:hAnsi="仿宋" w:eastAsia="仿宋" w:cs="仿宋"/>
          <w:bCs/>
          <w:sz w:val="30"/>
          <w:szCs w:val="30"/>
        </w:rPr>
        <w:t>投融资工具与创新（私募股权融资、信托、可转债与可交换债、融资租赁、资产证券化等</w:t>
      </w:r>
      <w:r>
        <w:rPr>
          <w:rFonts w:hint="eastAsia" w:ascii="仿宋" w:hAnsi="仿宋" w:eastAsia="仿宋" w:cs="仿宋"/>
          <w:bCs/>
          <w:sz w:val="30"/>
          <w:szCs w:val="30"/>
        </w:rPr>
        <w:t>）</w:t>
      </w:r>
    </w:p>
    <w:p>
      <w:pPr>
        <w:spacing w:line="440" w:lineRule="exact"/>
        <w:ind w:leftChars="-203" w:hanging="428" w:hangingChars="142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4、企业司库建设理论与实务</w:t>
      </w:r>
    </w:p>
    <w:p>
      <w:pPr>
        <w:spacing w:line="440" w:lineRule="exact"/>
        <w:ind w:left="-424" w:leftChars="-202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企业司库建设；资金管理集中化、财务公司与司库管理的关系；财务共享服务中心如何发挥司库的部分职能；司库在企业集团财务管理中的角色定位；有关最新司库的理论与实践发展</w:t>
      </w:r>
    </w:p>
    <w:p>
      <w:pPr>
        <w:spacing w:line="440" w:lineRule="exact"/>
        <w:ind w:left="-424" w:leftChars="-202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5、大数据金融</w:t>
      </w:r>
    </w:p>
    <w:p>
      <w:pPr>
        <w:spacing w:line="440" w:lineRule="exact"/>
        <w:ind w:left="-424" w:leftChars="-202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</w:t>
      </w:r>
      <w:r>
        <w:rPr>
          <w:rFonts w:ascii="仿宋" w:hAnsi="仿宋" w:eastAsia="仿宋" w:cs="仿宋"/>
          <w:bCs/>
          <w:sz w:val="30"/>
          <w:szCs w:val="30"/>
        </w:rPr>
        <w:t>供应链金融</w:t>
      </w:r>
      <w:r>
        <w:rPr>
          <w:rFonts w:hint="eastAsia" w:ascii="仿宋" w:hAnsi="仿宋" w:eastAsia="仿宋" w:cs="仿宋"/>
          <w:bCs/>
          <w:sz w:val="30"/>
          <w:szCs w:val="30"/>
        </w:rPr>
        <w:t>；互联网金融；大数据与公司金融；区块链与公司金融等</w:t>
      </w:r>
    </w:p>
    <w:p>
      <w:pPr>
        <w:spacing w:line="440" w:lineRule="exact"/>
        <w:ind w:leftChars="-203" w:hanging="428" w:hangingChars="142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6、集团资金管理信息化建设实务</w:t>
      </w:r>
    </w:p>
    <w:p>
      <w:pPr>
        <w:spacing w:line="120" w:lineRule="exact"/>
        <w:ind w:right="-483" w:rightChars="-230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00" w:lineRule="exact"/>
        <w:ind w:left="-426" w:leftChars="-203" w:right="-483" w:rightChars="-230"/>
        <w:rPr>
          <w:rFonts w:ascii="仿宋" w:hAnsi="仿宋" w:eastAsia="仿宋" w:cs="Arial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kern w:val="0"/>
          <w:sz w:val="30"/>
          <w:szCs w:val="30"/>
        </w:rPr>
        <w:t>四、师资力量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政府机关、学院、企业界等具有深厚理论功底和丰富实践经验的专家和教授组成</w:t>
      </w:r>
    </w:p>
    <w:p>
      <w:pPr>
        <w:snapToGrid w:val="0"/>
        <w:spacing w:line="400" w:lineRule="exact"/>
        <w:ind w:left="-426" w:leftChars="-203" w:right="-483" w:rightChars="-23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五、培训费用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每期次培训费均为</w:t>
      </w:r>
      <w:r>
        <w:rPr>
          <w:rFonts w:ascii="仿宋" w:hAnsi="仿宋" w:eastAsia="仿宋" w:cs="仿宋"/>
          <w:sz w:val="30"/>
          <w:szCs w:val="30"/>
        </w:rPr>
        <w:t>2900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包括专家授课费、资料费、教学场租设备费等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。住宿和用餐统一安排，费用自理；交通费用自理</w:t>
      </w:r>
    </w:p>
    <w:p>
      <w:pPr>
        <w:snapToGrid w:val="0"/>
        <w:spacing w:line="400" w:lineRule="exact"/>
        <w:ind w:left="-426" w:leftChars="-203" w:right="-483" w:rightChars="-23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六、培训证书</w:t>
      </w:r>
    </w:p>
    <w:p>
      <w:pPr>
        <w:widowControl/>
        <w:spacing w:line="440" w:lineRule="exact"/>
        <w:ind w:left="-426" w:leftChars="-203" w:right="-483" w:rightChars="-230" w:firstLine="52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培训班学习期满，完成教学计划规定的全部课程，由中国总会计师协会颁发《财务岗位培训证书》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七、其他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研讨培训将根据情况安排到企业现场参观交流，欢迎推荐或自荐！</w:t>
      </w:r>
    </w:p>
    <w:p>
      <w:pPr>
        <w:spacing w:line="440" w:lineRule="exact"/>
        <w:ind w:left="-426" w:leftChars="-203" w:right="-483" w:rightChars="-23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八、报名联系方式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联系人：崔老师</w:t>
      </w:r>
      <w:r>
        <w:rPr>
          <w:rFonts w:ascii="仿宋" w:hAnsi="仿宋" w:eastAsia="仿宋" w:cs="仿宋"/>
          <w:sz w:val="30"/>
          <w:szCs w:val="30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 xml:space="preserve"> 电话：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</w:rPr>
        <w:t>63381767</w:t>
      </w:r>
    </w:p>
    <w:p>
      <w:pPr>
        <w:widowControl/>
        <w:spacing w:line="440" w:lineRule="exact"/>
        <w:ind w:left="-426" w:leftChars="-203" w:right="-483" w:rightChars="-23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传真：</w:t>
      </w:r>
      <w:r>
        <w:rPr>
          <w:rFonts w:ascii="仿宋" w:hAnsi="仿宋" w:eastAsia="仿宋" w:cs="仿宋"/>
          <w:sz w:val="30"/>
          <w:szCs w:val="30"/>
        </w:rPr>
        <w:t>010-</w:t>
      </w:r>
      <w:r>
        <w:rPr>
          <w:rFonts w:hint="eastAsia" w:ascii="仿宋" w:hAnsi="仿宋" w:eastAsia="仿宋" w:cs="仿宋"/>
          <w:sz w:val="30"/>
          <w:szCs w:val="30"/>
        </w:rPr>
        <w:t>63381780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邮箱：cfo</w:t>
      </w:r>
      <w:r>
        <w:rPr>
          <w:rFonts w:ascii="仿宋" w:hAnsi="仿宋" w:eastAsia="仿宋" w:cs="仿宋"/>
          <w:sz w:val="30"/>
          <w:szCs w:val="30"/>
        </w:rPr>
        <w:t>@</w:t>
      </w:r>
      <w:r>
        <w:rPr>
          <w:rFonts w:hint="eastAsia" w:ascii="仿宋" w:hAnsi="仿宋" w:eastAsia="仿宋" w:cs="仿宋"/>
          <w:sz w:val="30"/>
          <w:szCs w:val="30"/>
        </w:rPr>
        <w:t>cmcfo</w:t>
      </w:r>
      <w:r>
        <w:rPr>
          <w:rFonts w:ascii="仿宋" w:hAnsi="仿宋" w:eastAsia="仿宋" w:cs="仿宋"/>
          <w:sz w:val="30"/>
          <w:szCs w:val="30"/>
        </w:rPr>
        <w:t>.c</w:t>
      </w:r>
      <w:r>
        <w:rPr>
          <w:rFonts w:hint="eastAsia" w:ascii="仿宋" w:hAnsi="仿宋" w:eastAsia="仿宋" w:cs="仿宋"/>
          <w:sz w:val="30"/>
          <w:szCs w:val="30"/>
        </w:rPr>
        <w:t>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A92"/>
    <w:multiLevelType w:val="multilevel"/>
    <w:tmpl w:val="4F355A92"/>
    <w:lvl w:ilvl="0" w:tentative="0">
      <w:start w:val="2"/>
      <w:numFmt w:val="japaneseCounting"/>
      <w:lvlText w:val="%1、"/>
      <w:lvlJc w:val="left"/>
      <w:pPr>
        <w:ind w:left="294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534" w:hanging="480"/>
      </w:pPr>
    </w:lvl>
    <w:lvl w:ilvl="2" w:tentative="0">
      <w:start w:val="1"/>
      <w:numFmt w:val="lowerRoman"/>
      <w:lvlText w:val="%3."/>
      <w:lvlJc w:val="right"/>
      <w:pPr>
        <w:ind w:left="1014" w:hanging="480"/>
      </w:pPr>
    </w:lvl>
    <w:lvl w:ilvl="3" w:tentative="0">
      <w:start w:val="1"/>
      <w:numFmt w:val="decimal"/>
      <w:lvlText w:val="%4."/>
      <w:lvlJc w:val="left"/>
      <w:pPr>
        <w:ind w:left="1494" w:hanging="480"/>
      </w:pPr>
    </w:lvl>
    <w:lvl w:ilvl="4" w:tentative="0">
      <w:start w:val="1"/>
      <w:numFmt w:val="lowerLetter"/>
      <w:lvlText w:val="%5)"/>
      <w:lvlJc w:val="left"/>
      <w:pPr>
        <w:ind w:left="1974" w:hanging="480"/>
      </w:pPr>
    </w:lvl>
    <w:lvl w:ilvl="5" w:tentative="0">
      <w:start w:val="1"/>
      <w:numFmt w:val="lowerRoman"/>
      <w:lvlText w:val="%6."/>
      <w:lvlJc w:val="right"/>
      <w:pPr>
        <w:ind w:left="2454" w:hanging="480"/>
      </w:pPr>
    </w:lvl>
    <w:lvl w:ilvl="6" w:tentative="0">
      <w:start w:val="1"/>
      <w:numFmt w:val="decimal"/>
      <w:lvlText w:val="%7."/>
      <w:lvlJc w:val="left"/>
      <w:pPr>
        <w:ind w:left="2934" w:hanging="480"/>
      </w:pPr>
    </w:lvl>
    <w:lvl w:ilvl="7" w:tentative="0">
      <w:start w:val="1"/>
      <w:numFmt w:val="lowerLetter"/>
      <w:lvlText w:val="%8)"/>
      <w:lvlJc w:val="left"/>
      <w:pPr>
        <w:ind w:left="3414" w:hanging="480"/>
      </w:pPr>
    </w:lvl>
    <w:lvl w:ilvl="8" w:tentative="0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B5889"/>
    <w:rsid w:val="763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2019-06-12T01:30:00Z</dcterms:created>
  <dc:creator>桑立强</dc:creator>
  <cp:lastModifiedBy>桑立强</cp:lastModifiedBy>
  <dcterms:modified xsi:type="dcterms:W3CDTF">2019-06-12T01:31:26Z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