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eastAsia="仿宋_GB2312"/>
          <w:sz w:val="28"/>
          <w:szCs w:val="28"/>
        </w:rPr>
      </w:pPr>
      <w:r>
        <w:rPr>
          <w:rFonts w:hint="eastAsia" w:ascii="仿宋_GB2312" w:eastAsia="仿宋_GB2312"/>
          <w:sz w:val="28"/>
          <w:szCs w:val="28"/>
        </w:rPr>
        <w:t>附件1：</w:t>
      </w:r>
    </w:p>
    <w:p>
      <w:pPr>
        <w:spacing w:line="500" w:lineRule="exact"/>
        <w:ind w:left="630" w:leftChars="300" w:right="630" w:rightChars="300"/>
        <w:jc w:val="center"/>
        <w:rPr>
          <w:rFonts w:ascii="宋体" w:hAnsi="宋体"/>
          <w:b/>
          <w:kern w:val="0"/>
          <w:sz w:val="32"/>
          <w:szCs w:val="32"/>
        </w:rPr>
      </w:pPr>
      <w:r>
        <w:rPr>
          <w:rFonts w:hint="eastAsia" w:ascii="宋体" w:hAnsi="宋体"/>
          <w:b/>
          <w:kern w:val="0"/>
          <w:sz w:val="32"/>
          <w:szCs w:val="32"/>
        </w:rPr>
        <w:t>《2019年减税新政与新征管背景下企业涉税风险管控专题培训班》工作方案</w:t>
      </w:r>
    </w:p>
    <w:p>
      <w:pPr>
        <w:spacing w:before="156" w:beforeLines="50" w:line="400" w:lineRule="exact"/>
        <w:ind w:firstLine="562" w:firstLineChars="200"/>
        <w:rPr>
          <w:rFonts w:ascii="仿宋_GB2312" w:eastAsia="仿宋_GB2312"/>
          <w:sz w:val="28"/>
          <w:szCs w:val="28"/>
        </w:rPr>
      </w:pPr>
      <w:r>
        <w:rPr>
          <w:rFonts w:hint="eastAsia" w:ascii="仿宋_GB2312" w:eastAsia="仿宋_GB2312"/>
          <w:b/>
          <w:sz w:val="28"/>
          <w:szCs w:val="28"/>
        </w:rPr>
        <w:t>主管主办单位：</w:t>
      </w:r>
      <w:r>
        <w:rPr>
          <w:rFonts w:hint="eastAsia" w:ascii="仿宋_GB2312" w:eastAsia="仿宋_GB2312"/>
          <w:sz w:val="28"/>
          <w:szCs w:val="28"/>
        </w:rPr>
        <w:t>中国总会计师协会</w:t>
      </w:r>
    </w:p>
    <w:p>
      <w:pPr>
        <w:spacing w:line="400" w:lineRule="exact"/>
        <w:ind w:firstLine="562" w:firstLineChars="200"/>
        <w:rPr>
          <w:rFonts w:ascii="仿宋_GB2312" w:eastAsia="仿宋_GB2312"/>
          <w:sz w:val="28"/>
          <w:szCs w:val="28"/>
        </w:rPr>
      </w:pPr>
      <w:r>
        <w:rPr>
          <w:rFonts w:hint="eastAsia" w:ascii="仿宋_GB2312" w:eastAsia="仿宋_GB2312"/>
          <w:b/>
          <w:sz w:val="28"/>
          <w:szCs w:val="28"/>
        </w:rPr>
        <w:t>委托承办单位：</w:t>
      </w:r>
      <w:r>
        <w:rPr>
          <w:rFonts w:hint="eastAsia" w:ascii="仿宋_GB2312" w:eastAsia="仿宋_GB2312"/>
          <w:sz w:val="28"/>
          <w:szCs w:val="28"/>
        </w:rPr>
        <w:t>北京国培创新教育科技股份有限公司（国培机构）</w:t>
      </w:r>
    </w:p>
    <w:p>
      <w:pPr>
        <w:spacing w:before="156" w:beforeLines="50" w:after="312" w:afterLines="100" w:line="400" w:lineRule="exact"/>
        <w:ind w:firstLine="650" w:firstLineChars="249"/>
        <w:rPr>
          <w:rFonts w:ascii="黑体" w:hAnsi="黑体" w:eastAsia="黑体"/>
          <w:b/>
          <w:spacing w:val="-10"/>
          <w:sz w:val="28"/>
          <w:szCs w:val="28"/>
        </w:rPr>
      </w:pPr>
      <w:r>
        <w:rPr>
          <w:rFonts w:hint="eastAsia" w:ascii="黑体" w:hAnsi="黑体" w:eastAsia="黑体"/>
          <w:b/>
          <w:spacing w:val="-10"/>
          <w:sz w:val="28"/>
          <w:szCs w:val="28"/>
        </w:rPr>
        <w:t>一、时间地点</w:t>
      </w:r>
    </w:p>
    <w:tbl>
      <w:tblPr>
        <w:tblStyle w:val="2"/>
        <w:tblW w:w="5471" w:type="dxa"/>
        <w:jc w:val="center"/>
        <w:tblInd w:w="-197" w:type="dxa"/>
        <w:tblLayout w:type="fixed"/>
        <w:tblCellMar>
          <w:top w:w="0" w:type="dxa"/>
          <w:left w:w="108" w:type="dxa"/>
          <w:bottom w:w="0" w:type="dxa"/>
          <w:right w:w="108" w:type="dxa"/>
        </w:tblCellMar>
      </w:tblPr>
      <w:tblGrid>
        <w:gridCol w:w="2772"/>
        <w:gridCol w:w="2699"/>
      </w:tblGrid>
      <w:tr>
        <w:tblPrEx>
          <w:tblLayout w:type="fixed"/>
          <w:tblCellMar>
            <w:top w:w="0" w:type="dxa"/>
            <w:left w:w="108" w:type="dxa"/>
            <w:bottom w:w="0" w:type="dxa"/>
            <w:right w:w="108" w:type="dxa"/>
          </w:tblCellMar>
        </w:tblPrEx>
        <w:trPr>
          <w:trHeight w:val="454" w:hRule="exact"/>
          <w:jc w:val="center"/>
        </w:trPr>
        <w:tc>
          <w:tcPr>
            <w:tcW w:w="27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szCs w:val="22"/>
              </w:rPr>
            </w:pPr>
            <w:r>
              <w:rPr>
                <w:rFonts w:hint="eastAsia" w:ascii="仿宋_GB2312" w:hAnsi="宋体" w:eastAsia="仿宋_GB2312" w:cs="宋体"/>
                <w:bCs/>
                <w:color w:val="000000"/>
                <w:kern w:val="0"/>
                <w:sz w:val="24"/>
                <w:szCs w:val="22"/>
              </w:rPr>
              <w:t>时间</w:t>
            </w:r>
          </w:p>
        </w:tc>
        <w:tc>
          <w:tcPr>
            <w:tcW w:w="269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szCs w:val="22"/>
              </w:rPr>
            </w:pPr>
            <w:r>
              <w:rPr>
                <w:rFonts w:hint="eastAsia" w:ascii="仿宋_GB2312" w:hAnsi="宋体" w:eastAsia="仿宋_GB2312" w:cs="宋体"/>
                <w:bCs/>
                <w:color w:val="000000"/>
                <w:kern w:val="0"/>
                <w:sz w:val="24"/>
                <w:szCs w:val="22"/>
              </w:rPr>
              <w:t>地点</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5月22日-27日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腾冲</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6月12日-17日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成都</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6月19日-24日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大连</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7月17日-22日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青岛</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7月24日-29日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贵阳</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8月 7 日-12日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吉林·延吉</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9月 4 日- 9日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成都</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10月23日-28日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厦门</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11月 6 日-11日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上海</w:t>
            </w:r>
          </w:p>
        </w:tc>
      </w:tr>
      <w:tr>
        <w:tblPrEx>
          <w:tblLayout w:type="fixed"/>
          <w:tblCellMar>
            <w:top w:w="0" w:type="dxa"/>
            <w:left w:w="108" w:type="dxa"/>
            <w:bottom w:w="0" w:type="dxa"/>
            <w:right w:w="108" w:type="dxa"/>
          </w:tblCellMar>
        </w:tblPrEx>
        <w:trPr>
          <w:trHeight w:val="454" w:hRule="exact"/>
          <w:jc w:val="center"/>
        </w:trPr>
        <w:tc>
          <w:tcPr>
            <w:tcW w:w="277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12月 4 日- 9日</w:t>
            </w:r>
          </w:p>
        </w:tc>
        <w:tc>
          <w:tcPr>
            <w:tcW w:w="269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昆明</w:t>
            </w:r>
          </w:p>
        </w:tc>
      </w:tr>
      <w:tr>
        <w:tblPrEx>
          <w:tblLayout w:type="fixed"/>
          <w:tblCellMar>
            <w:top w:w="0" w:type="dxa"/>
            <w:left w:w="108" w:type="dxa"/>
            <w:bottom w:w="0" w:type="dxa"/>
            <w:right w:w="108" w:type="dxa"/>
          </w:tblCellMar>
        </w:tblPrEx>
        <w:trPr>
          <w:trHeight w:val="454" w:hRule="exact"/>
          <w:jc w:val="center"/>
        </w:trPr>
        <w:tc>
          <w:tcPr>
            <w:tcW w:w="27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12月11日-16日</w:t>
            </w:r>
          </w:p>
        </w:tc>
        <w:tc>
          <w:tcPr>
            <w:tcW w:w="269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2"/>
              </w:rPr>
            </w:pPr>
            <w:r>
              <w:rPr>
                <w:rFonts w:hint="eastAsia" w:ascii="仿宋_GB2312" w:hAnsi="宋体" w:eastAsia="仿宋_GB2312" w:cs="宋体"/>
                <w:kern w:val="0"/>
                <w:sz w:val="24"/>
                <w:szCs w:val="22"/>
              </w:rPr>
              <w:t>珠海</w:t>
            </w:r>
          </w:p>
        </w:tc>
      </w:tr>
    </w:tbl>
    <w:p>
      <w:pPr>
        <w:tabs>
          <w:tab w:val="left" w:pos="1620"/>
          <w:tab w:val="left" w:pos="1800"/>
        </w:tabs>
        <w:spacing w:before="93" w:beforeLines="30"/>
        <w:jc w:val="left"/>
        <w:rPr>
          <w:rFonts w:ascii="仿宋_GB2312" w:hAnsi="宋体" w:eastAsia="仿宋_GB2312"/>
          <w:sz w:val="28"/>
          <w:szCs w:val="28"/>
        </w:rPr>
      </w:pPr>
      <w:r>
        <w:rPr>
          <w:rFonts w:hint="eastAsia" w:ascii="仿宋_GB2312" w:eastAsia="仿宋_GB2312"/>
          <w:sz w:val="28"/>
          <w:szCs w:val="28"/>
        </w:rPr>
        <w:t>注：</w:t>
      </w:r>
      <w:r>
        <w:rPr>
          <w:rFonts w:hint="eastAsia" w:ascii="仿宋_GB2312" w:hAnsi="宋体" w:eastAsia="仿宋_GB2312"/>
          <w:sz w:val="28"/>
          <w:szCs w:val="28"/>
        </w:rPr>
        <w:t>1、专题方案电子版请登录中国总会计师协会网站和国培财经网站获取；或致电010-</w:t>
      </w:r>
      <w:r>
        <w:rPr>
          <w:rFonts w:ascii="仿宋_GB2312" w:hAnsi="宋体" w:eastAsia="仿宋_GB2312"/>
          <w:sz w:val="28"/>
          <w:szCs w:val="28"/>
        </w:rPr>
        <w:t>53771881</w:t>
      </w:r>
      <w:r>
        <w:rPr>
          <w:rFonts w:hint="eastAsia" w:ascii="仿宋_GB2312" w:hAnsi="宋体" w:eastAsia="仿宋_GB2312"/>
          <w:sz w:val="28"/>
          <w:szCs w:val="28"/>
        </w:rPr>
        <w:t>、</w:t>
      </w:r>
      <w:r>
        <w:rPr>
          <w:rFonts w:ascii="仿宋_GB2312" w:eastAsia="仿宋_GB2312"/>
          <w:sz w:val="28"/>
          <w:szCs w:val="28"/>
        </w:rPr>
        <w:t>5377188</w:t>
      </w:r>
      <w:r>
        <w:rPr>
          <w:rFonts w:hint="eastAsia" w:ascii="仿宋_GB2312" w:eastAsia="仿宋_GB2312"/>
          <w:sz w:val="28"/>
          <w:szCs w:val="28"/>
        </w:rPr>
        <w:t>2</w:t>
      </w:r>
      <w:r>
        <w:rPr>
          <w:rFonts w:hint="eastAsia" w:ascii="仿宋_GB2312" w:hAnsi="宋体" w:eastAsia="仿宋_GB2312"/>
          <w:sz w:val="28"/>
          <w:szCs w:val="28"/>
        </w:rPr>
        <w:t>索取。</w:t>
      </w:r>
    </w:p>
    <w:p>
      <w:pPr>
        <w:tabs>
          <w:tab w:val="left" w:pos="1620"/>
          <w:tab w:val="left" w:pos="1800"/>
        </w:tabs>
        <w:ind w:firstLine="523" w:firstLineChars="187"/>
        <w:jc w:val="left"/>
        <w:rPr>
          <w:rFonts w:ascii="仿宋_GB2312" w:hAnsi="宋体" w:eastAsia="仿宋_GB2312"/>
          <w:sz w:val="28"/>
          <w:szCs w:val="28"/>
        </w:rPr>
      </w:pPr>
      <w:r>
        <w:rPr>
          <w:rFonts w:hint="eastAsia" w:ascii="仿宋_GB2312" w:hAnsi="宋体" w:eastAsia="仿宋_GB2312"/>
          <w:sz w:val="28"/>
          <w:szCs w:val="28"/>
        </w:rPr>
        <w:t>2、</w:t>
      </w:r>
      <w:r>
        <w:rPr>
          <w:rFonts w:hint="eastAsia" w:ascii="仿宋_GB2312" w:eastAsia="仿宋_GB2312"/>
          <w:color w:val="000000"/>
          <w:sz w:val="28"/>
          <w:szCs w:val="28"/>
        </w:rPr>
        <w:t>欢迎各会员单位和有关单位选择相关专题组织内训，我们将根据需求认真筹划、规范组织；烦请提前与我们联系，以预做准备。</w:t>
      </w:r>
    </w:p>
    <w:p>
      <w:pPr>
        <w:tabs>
          <w:tab w:val="left" w:pos="1620"/>
          <w:tab w:val="left" w:pos="1800"/>
        </w:tabs>
        <w:ind w:firstLine="523" w:firstLineChars="187"/>
        <w:jc w:val="left"/>
        <w:rPr>
          <w:rFonts w:ascii="仿宋_GB2312" w:eastAsia="仿宋_GB2312"/>
          <w:color w:val="000000"/>
          <w:sz w:val="28"/>
          <w:szCs w:val="28"/>
        </w:rPr>
      </w:pPr>
      <w:r>
        <w:rPr>
          <w:rFonts w:hint="eastAsia" w:ascii="仿宋_GB2312" w:hAnsi="宋体" w:eastAsia="仿宋_GB2312"/>
          <w:sz w:val="28"/>
          <w:szCs w:val="28"/>
        </w:rPr>
        <w:t>3、培训班具体地点，在开班一周前随《报到通知</w:t>
      </w:r>
      <w:r>
        <w:rPr>
          <w:rFonts w:hint="eastAsia" w:ascii="仿宋_GB2312" w:eastAsia="仿宋_GB2312"/>
          <w:color w:val="000000"/>
          <w:sz w:val="28"/>
          <w:szCs w:val="28"/>
        </w:rPr>
        <w:t>》告知。</w:t>
      </w:r>
    </w:p>
    <w:p>
      <w:pPr>
        <w:spacing w:before="156" w:beforeLines="50" w:after="312" w:afterLines="100" w:line="440" w:lineRule="exact"/>
        <w:ind w:firstLine="650" w:firstLineChars="249"/>
        <w:rPr>
          <w:rFonts w:ascii="黑体" w:hAnsi="黑体" w:eastAsia="黑体"/>
          <w:b/>
          <w:spacing w:val="-10"/>
          <w:sz w:val="28"/>
          <w:szCs w:val="28"/>
        </w:rPr>
      </w:pPr>
      <w:r>
        <w:rPr>
          <w:rFonts w:hint="eastAsia" w:ascii="黑体" w:hAnsi="黑体" w:eastAsia="黑体"/>
          <w:b/>
          <w:spacing w:val="-10"/>
          <w:sz w:val="28"/>
          <w:szCs w:val="28"/>
        </w:rPr>
        <w:t>二、培训内容</w:t>
      </w:r>
    </w:p>
    <w:p>
      <w:pPr>
        <w:spacing w:before="156" w:beforeLines="50" w:after="93" w:afterLines="30" w:line="500" w:lineRule="exact"/>
        <w:ind w:firstLine="562" w:firstLineChars="200"/>
        <w:jc w:val="left"/>
        <w:rPr>
          <w:rFonts w:ascii="宋体" w:hAnsi="宋体"/>
          <w:b/>
          <w:sz w:val="28"/>
          <w:szCs w:val="28"/>
        </w:rPr>
      </w:pPr>
      <w:r>
        <w:rPr>
          <w:rFonts w:hint="eastAsia" w:ascii="宋体" w:hAnsi="宋体"/>
          <w:b/>
          <w:sz w:val="28"/>
          <w:szCs w:val="28"/>
        </w:rPr>
        <w:t>第一部分：2019年减税新政梳理与实施问题解析</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1、最新减税政策动态解析与实施应对</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2、2019年最新增值税税收政策变化及影响</w:t>
      </w:r>
    </w:p>
    <w:p>
      <w:pPr>
        <w:spacing w:line="500" w:lineRule="exact"/>
        <w:ind w:left="703" w:hanging="703" w:hangingChars="250"/>
        <w:rPr>
          <w:w w:val="90"/>
          <w:sz w:val="28"/>
          <w:szCs w:val="28"/>
        </w:rPr>
      </w:pPr>
      <w:r>
        <w:rPr>
          <w:rFonts w:hint="eastAsia"/>
          <w:b/>
          <w:sz w:val="28"/>
          <w:szCs w:val="28"/>
        </w:rPr>
        <w:t xml:space="preserve">    </w:t>
      </w:r>
      <w:r>
        <w:rPr>
          <w:rFonts w:hint="eastAsia" w:ascii="仿宋_GB2312" w:eastAsia="仿宋_GB2312" w:cs="仿宋_GB2312"/>
          <w:sz w:val="28"/>
          <w:szCs w:val="28"/>
        </w:rPr>
        <w:t>（1）</w:t>
      </w:r>
      <w:r>
        <w:rPr>
          <w:rFonts w:hint="eastAsia" w:ascii="仿宋_GB2312" w:eastAsia="仿宋_GB2312" w:cs="仿宋_GB2312"/>
          <w:w w:val="90"/>
          <w:sz w:val="28"/>
          <w:szCs w:val="28"/>
        </w:rPr>
        <w:t>增值税税率连续调整背景下企业上下游业务的合同签订及法律风险防范</w:t>
      </w:r>
    </w:p>
    <w:p>
      <w:pPr>
        <w:spacing w:line="500" w:lineRule="exact"/>
        <w:ind w:left="700" w:hanging="700" w:hangingChars="250"/>
        <w:rPr>
          <w:rFonts w:ascii="仿宋_GB2312" w:eastAsia="仿宋_GB2312" w:cs="仿宋_GB2312"/>
          <w:sz w:val="28"/>
          <w:szCs w:val="28"/>
        </w:rPr>
      </w:pPr>
      <w:r>
        <w:rPr>
          <w:rFonts w:hint="eastAsia"/>
          <w:sz w:val="28"/>
          <w:szCs w:val="28"/>
        </w:rPr>
        <w:t xml:space="preserve">    </w:t>
      </w:r>
      <w:r>
        <w:rPr>
          <w:rFonts w:hint="eastAsia" w:ascii="仿宋_GB2312" w:eastAsia="仿宋_GB2312" w:cs="仿宋_GB2312"/>
          <w:sz w:val="28"/>
          <w:szCs w:val="28"/>
        </w:rPr>
        <w:t>（2）增值税进项税额抵扣范围及抵扣金额的变化</w:t>
      </w:r>
    </w:p>
    <w:p>
      <w:pPr>
        <w:spacing w:line="500" w:lineRule="exact"/>
        <w:ind w:left="700" w:hanging="700" w:hangingChars="250"/>
        <w:rPr>
          <w:rFonts w:ascii="仿宋_GB2312" w:eastAsia="仿宋_GB2312" w:cs="仿宋_GB2312"/>
          <w:sz w:val="28"/>
          <w:szCs w:val="28"/>
        </w:rPr>
      </w:pPr>
      <w:r>
        <w:rPr>
          <w:rFonts w:hint="eastAsia" w:ascii="仿宋_GB2312" w:eastAsia="仿宋_GB2312" w:cs="仿宋_GB2312"/>
          <w:sz w:val="28"/>
          <w:szCs w:val="28"/>
        </w:rPr>
        <w:t xml:space="preserve">    （3）增值税进项税额抵扣的加计扣除的计算及管理</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（4）增值税留抵税额的退税的处理</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（5）2019年增值税纳税人发票开具的最新规定</w:t>
      </w:r>
    </w:p>
    <w:p>
      <w:pPr>
        <w:tabs>
          <w:tab w:val="left" w:pos="1620"/>
          <w:tab w:val="left" w:pos="1800"/>
        </w:tabs>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3、企业所得税政策的变化及影响</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（1）企业所得税政策的主要变化</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（2）企业所得税税收优惠及损失扣除取消备案管理的政策及风险应对</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（3）企业所得税税前扣除凭证管理办法出台对企业凭证管理提出的挑战及合法权益的保护</w:t>
      </w:r>
    </w:p>
    <w:p>
      <w:pPr>
        <w:pStyle w:val="4"/>
        <w:numPr>
          <w:ilvl w:val="0"/>
          <w:numId w:val="1"/>
        </w:numPr>
        <w:spacing w:line="500" w:lineRule="exact"/>
        <w:ind w:firstLineChars="0"/>
        <w:rPr>
          <w:rFonts w:ascii="仿宋_GB2312" w:eastAsia="仿宋_GB2312" w:cs="仿宋_GB2312"/>
          <w:sz w:val="28"/>
          <w:szCs w:val="28"/>
        </w:rPr>
      </w:pPr>
      <w:r>
        <w:rPr>
          <w:rFonts w:hint="eastAsia" w:ascii="仿宋_GB2312" w:eastAsia="仿宋_GB2312" w:cs="仿宋_GB2312"/>
          <w:sz w:val="28"/>
          <w:szCs w:val="28"/>
        </w:rPr>
        <w:t>2019年企业如何获得减税让利的红利</w:t>
      </w:r>
    </w:p>
    <w:p>
      <w:pPr>
        <w:spacing w:line="500" w:lineRule="exact"/>
        <w:ind w:left="560"/>
        <w:rPr>
          <w:rFonts w:ascii="仿宋_GB2312" w:eastAsia="仿宋_GB2312" w:cs="仿宋_GB2312"/>
          <w:sz w:val="28"/>
          <w:szCs w:val="28"/>
        </w:rPr>
      </w:pPr>
      <w:r>
        <w:rPr>
          <w:rFonts w:hint="eastAsia" w:ascii="仿宋_GB2312" w:eastAsia="仿宋_GB2312" w:cs="仿宋_GB2312"/>
          <w:sz w:val="28"/>
          <w:szCs w:val="28"/>
        </w:rPr>
        <w:t>4、消费税及进出口税收新政策解析</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5、抵扣不足难题化解思路</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6、关注价税体系变化实现利益最大化</w:t>
      </w:r>
    </w:p>
    <w:p>
      <w:pPr>
        <w:spacing w:before="156" w:beforeLines="50" w:after="93" w:afterLines="30" w:line="500" w:lineRule="exact"/>
        <w:ind w:firstLine="562" w:firstLineChars="200"/>
        <w:jc w:val="left"/>
        <w:rPr>
          <w:rFonts w:ascii="宋体" w:hAnsi="宋体"/>
          <w:b/>
          <w:sz w:val="28"/>
          <w:szCs w:val="28"/>
        </w:rPr>
      </w:pPr>
      <w:r>
        <w:rPr>
          <w:rFonts w:hint="eastAsia" w:ascii="宋体" w:hAnsi="宋体"/>
          <w:b/>
          <w:sz w:val="28"/>
          <w:szCs w:val="28"/>
        </w:rPr>
        <w:t>第二部分：大数据监控下的个税、社保改革</w:t>
      </w:r>
    </w:p>
    <w:p>
      <w:pPr>
        <w:spacing w:before="156" w:beforeLines="50" w:after="93" w:afterLines="30" w:line="42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1、企业正确代扣代缴个人所得税需要关注的基本要点</w:t>
      </w:r>
    </w:p>
    <w:p>
      <w:pPr>
        <w:spacing w:before="156" w:beforeLines="50" w:after="93" w:afterLines="30" w:line="42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2、综合所得按年计算个税对税负有何影响</w:t>
      </w:r>
    </w:p>
    <w:p>
      <w:pPr>
        <w:tabs>
          <w:tab w:val="left" w:pos="1620"/>
          <w:tab w:val="left" w:pos="1800"/>
        </w:tabs>
        <w:spacing w:line="44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3、个人所得税收筹划的误区</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4、新个人所得税法应对策略分析</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5、社保费疑难问题解析与应对办法</w:t>
      </w:r>
    </w:p>
    <w:p>
      <w:pPr>
        <w:spacing w:before="156" w:beforeLines="50" w:after="93" w:afterLines="30" w:line="500" w:lineRule="exact"/>
        <w:ind w:firstLine="562" w:firstLineChars="200"/>
        <w:jc w:val="center"/>
        <w:rPr>
          <w:rFonts w:ascii="宋体" w:hAnsi="宋体"/>
          <w:b/>
          <w:sz w:val="28"/>
          <w:szCs w:val="28"/>
        </w:rPr>
      </w:pPr>
      <w:r>
        <w:rPr>
          <w:rFonts w:hint="eastAsia" w:ascii="宋体" w:hAnsi="宋体"/>
          <w:b/>
          <w:sz w:val="28"/>
          <w:szCs w:val="28"/>
        </w:rPr>
        <w:t>第三部分：税制改革和税收征管变化背景下企业涉税风险和涉税风险管理</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1、税制改革和税收征管变化成为常态引发企业涉税风险</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2、企业涉税风险形成的主要因素及形成风险的原因</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（1）企业适用税法错误风险</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（2）企业核算风险</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（3）企业交易风险</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（4）企业税收筹划风险</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3、企业涉税风险防范的基本结构</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（1）国地合并对企业的影响</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（2）“金税三期”是什么？金税三期的不断升级加大企业的涉税风险</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（3）税务部门“以票管税”是什么？以票管税使企业信息被税务部门直接获取</w:t>
      </w:r>
    </w:p>
    <w:p>
      <w:pPr>
        <w:pStyle w:val="4"/>
        <w:numPr>
          <w:ilvl w:val="0"/>
          <w:numId w:val="2"/>
        </w:numPr>
        <w:spacing w:line="500" w:lineRule="exact"/>
        <w:ind w:firstLineChars="0"/>
        <w:rPr>
          <w:sz w:val="28"/>
          <w:szCs w:val="28"/>
        </w:rPr>
      </w:pPr>
      <w:r>
        <w:rPr>
          <w:rFonts w:hint="eastAsia" w:ascii="仿宋_GB2312" w:eastAsia="仿宋_GB2312" w:cs="仿宋_GB2312"/>
          <w:sz w:val="28"/>
          <w:szCs w:val="28"/>
        </w:rPr>
        <w:t>2019年税务稽查部门的稽查重点的变化，企业如何知道被税务稽查部门“关注”</w:t>
      </w:r>
    </w:p>
    <w:p>
      <w:pPr>
        <w:spacing w:line="500" w:lineRule="exact"/>
        <w:ind w:left="560"/>
        <w:rPr>
          <w:sz w:val="28"/>
          <w:szCs w:val="28"/>
        </w:rPr>
      </w:pPr>
      <w:r>
        <w:rPr>
          <w:rFonts w:hint="eastAsia"/>
          <w:sz w:val="28"/>
          <w:szCs w:val="28"/>
        </w:rPr>
        <w:t>4、</w:t>
      </w:r>
      <w:r>
        <w:rPr>
          <w:rFonts w:hint="eastAsia" w:ascii="仿宋_GB2312" w:eastAsia="仿宋_GB2312" w:cs="仿宋_GB2312"/>
          <w:sz w:val="28"/>
          <w:szCs w:val="28"/>
        </w:rPr>
        <w:t>企业涉税风险防范的重点</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（1）企业适用税法错误风险防范措施——增值税风险防范</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增值税进项税额抵扣把握准确；增值税政策变化的几个关键点的把握；企业集团无偿借出资金的增值税免税条件的把握等</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（2）电子税务局、金税三期数据监控的风险情况分析</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大数据监控税收表现；大数据下第三方涉税信息采集利用；税收大数据与税源管理和监控；金税三期主要功能介绍；金税三期系统比对分析结果异常问题解析；税收风险提示函的应对策略；税务检查的法定步骤、形式和时限；稽查证据的认定注意事项；关联交易调整的具体内容和原则；转让定价和资本弱化如何调整；预警指标异常变动分析；金税三期的预警体系解析；稽查案件的定性与处理</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（3）核算风险——增值税的会计处理准确</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（4）发票管理——增值税、企业所得税风险防范</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增值税虚开发票的风险；企业所得税扣除凭证管理的证据思维；企业所得税税前扣除必须是发票的业务情形；纳税人不合规发票在税务部门稽查时的法律救济措施</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（5）合同管理——基于流程再造的涉税风险防范</w:t>
      </w:r>
    </w:p>
    <w:p>
      <w:pPr>
        <w:spacing w:line="50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合同签订时应当审查对方的纳税资格，并在合同中完善当事人名称和相关信息  ；合同标的——业务的描述——非常重要；合同中应当明确价格、增值税额及价外费用等；合同中对不同税率的服务内容应当分项核算；合同中发票提供、付款方式等条款的约定；规避三流不一致的风险</w:t>
      </w:r>
    </w:p>
    <w:p>
      <w:pPr>
        <w:spacing w:before="156" w:beforeLines="50" w:after="93" w:afterLines="30" w:line="500" w:lineRule="exact"/>
        <w:ind w:firstLine="562" w:firstLineChars="200"/>
        <w:jc w:val="left"/>
        <w:rPr>
          <w:rFonts w:ascii="宋体" w:hAnsi="宋体"/>
          <w:b/>
          <w:sz w:val="28"/>
          <w:szCs w:val="28"/>
        </w:rPr>
      </w:pPr>
      <w:r>
        <w:rPr>
          <w:rFonts w:hint="eastAsia" w:ascii="宋体" w:hAnsi="宋体"/>
          <w:b/>
          <w:sz w:val="28"/>
          <w:szCs w:val="28"/>
        </w:rPr>
        <w:t>第四部分：企业所得税汇算清缴流程变动与实施</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1、企业所得税汇算清缴最新政策梳理</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2、汇算清缴数据资料的归集与整理</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3、税负率及相关指标分析</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4、汇算清缴中的账务处理实务与纳税调整</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5、减免税优惠与扣除凭证的实效问题</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6、新版企业所得税申报表重大变化</w:t>
      </w:r>
    </w:p>
    <w:p>
      <w:pPr>
        <w:tabs>
          <w:tab w:val="left" w:pos="1620"/>
          <w:tab w:val="left" w:pos="1800"/>
        </w:tabs>
        <w:spacing w:line="50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7、涉税风险防范案例分析</w:t>
      </w:r>
    </w:p>
    <w:p>
      <w:pPr>
        <w:spacing w:before="156" w:beforeLines="50" w:after="93" w:afterLines="30"/>
        <w:ind w:firstLine="562" w:firstLineChars="200"/>
        <w:rPr>
          <w:rFonts w:ascii="黑体" w:eastAsia="黑体"/>
          <w:b/>
          <w:sz w:val="28"/>
          <w:szCs w:val="28"/>
        </w:rPr>
      </w:pPr>
      <w:r>
        <w:rPr>
          <w:rFonts w:hint="eastAsia" w:ascii="黑体" w:eastAsia="黑体"/>
          <w:b/>
          <w:sz w:val="28"/>
          <w:szCs w:val="28"/>
        </w:rPr>
        <w:t>三、培训对象</w:t>
      </w:r>
    </w:p>
    <w:p>
      <w:pPr>
        <w:spacing w:line="560" w:lineRule="exact"/>
        <w:ind w:firstLine="600" w:firstLineChars="200"/>
        <w:rPr>
          <w:rFonts w:ascii="黑体" w:eastAsia="黑体"/>
          <w:b/>
          <w:sz w:val="28"/>
          <w:szCs w:val="28"/>
        </w:rPr>
      </w:pPr>
      <w:r>
        <w:rPr>
          <w:rFonts w:hint="eastAsia" w:ascii="仿宋_GB2312" w:hAnsi="仿宋_GB2312" w:eastAsia="仿宋_GB2312" w:cs="仿宋_GB2312"/>
          <w:kern w:val="0"/>
          <w:sz w:val="30"/>
          <w:szCs w:val="30"/>
        </w:rPr>
        <w:t>各党政机关和行政事业单位分管领导、高校财税教学研究人员、财务税务相关业务骨干；各行业企业中高层领导、税务、财务、人力资源、行政、薪资福利、绩效、社保等相关负责人与业务骨干等人员。</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四、师资力量</w:t>
      </w:r>
    </w:p>
    <w:p>
      <w:pPr>
        <w:adjustRightInd w:val="0"/>
        <w:snapToGrid w:val="0"/>
        <w:spacing w:line="6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财政部、国家税务总局相关专家，中国财政科学研究院、国家税务总局干部学院、国家会计学院、知名财经高等院校，四大会计师事务所的权威专家和全国会计领军人才等。</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五、培训费用</w:t>
      </w:r>
    </w:p>
    <w:p>
      <w:pPr>
        <w:ind w:firstLine="560" w:firstLineChars="200"/>
        <w:rPr>
          <w:rFonts w:ascii="仿宋_GB2312" w:eastAsia="仿宋_GB2312"/>
          <w:sz w:val="28"/>
          <w:szCs w:val="28"/>
        </w:rPr>
      </w:pPr>
      <w:r>
        <w:rPr>
          <w:rFonts w:hint="eastAsia" w:ascii="仿宋_GB2312" w:eastAsia="仿宋_GB2312"/>
          <w:sz w:val="28"/>
          <w:szCs w:val="28"/>
        </w:rPr>
        <w:t>专题培训班费用为每人每期3,200元；食宿统一安排，费用另计；往返交通及费用由参训单位自行办理和支付。</w:t>
      </w:r>
    </w:p>
    <w:p>
      <w:pPr>
        <w:spacing w:before="156" w:beforeLines="50" w:after="93" w:afterLines="30"/>
        <w:ind w:left="425" w:firstLine="141" w:firstLineChars="50"/>
        <w:rPr>
          <w:rFonts w:ascii="黑体" w:eastAsia="黑体"/>
          <w:b/>
          <w:sz w:val="26"/>
          <w:szCs w:val="28"/>
        </w:rPr>
      </w:pPr>
      <w:r>
        <w:rPr>
          <w:rFonts w:hint="eastAsia" w:ascii="黑体" w:eastAsia="黑体"/>
          <w:b/>
          <w:sz w:val="28"/>
          <w:szCs w:val="28"/>
        </w:rPr>
        <w:t>六、参会办法</w:t>
      </w:r>
    </w:p>
    <w:p>
      <w:pPr>
        <w:ind w:firstLine="560" w:firstLineChars="200"/>
        <w:rPr>
          <w:rFonts w:ascii="仿宋_GB2312" w:eastAsia="仿宋_GB2312"/>
          <w:sz w:val="28"/>
          <w:szCs w:val="28"/>
        </w:rPr>
      </w:pPr>
      <w:r>
        <w:rPr>
          <w:rFonts w:hint="eastAsia" w:ascii="仿宋_GB2312" w:eastAsia="仿宋_GB2312"/>
          <w:sz w:val="28"/>
          <w:szCs w:val="28"/>
        </w:rPr>
        <w:t>各地方总会计师协会、会员单位及相关单位可汇总本系统的参训人员填写报名表，传真至会务组（010-</w:t>
      </w:r>
      <w:r>
        <w:rPr>
          <w:rFonts w:ascii="仿宋_GB2312" w:eastAsia="仿宋_GB2312"/>
          <w:sz w:val="28"/>
          <w:szCs w:val="28"/>
        </w:rPr>
        <w:t>5377188</w:t>
      </w:r>
      <w:r>
        <w:rPr>
          <w:rFonts w:hint="eastAsia" w:ascii="仿宋_GB2312" w:eastAsia="仿宋_GB2312"/>
          <w:sz w:val="28"/>
          <w:szCs w:val="28"/>
        </w:rPr>
        <w:t>2、</w:t>
      </w:r>
      <w:r>
        <w:rPr>
          <w:rFonts w:ascii="仿宋_GB2312" w:eastAsia="仿宋_GB2312"/>
          <w:sz w:val="28"/>
          <w:szCs w:val="28"/>
        </w:rPr>
        <w:t>53771881</w:t>
      </w:r>
      <w:r>
        <w:rPr>
          <w:rFonts w:hint="eastAsia" w:ascii="仿宋_GB2312" w:eastAsia="仿宋_GB2312"/>
          <w:sz w:val="28"/>
          <w:szCs w:val="28"/>
        </w:rPr>
        <w:t>）或发送电子邮件（会务组</w:t>
      </w:r>
      <w:r>
        <w:rPr>
          <w:rFonts w:hint="eastAsia" w:ascii="仿宋_GB2312" w:hAnsi="宋体" w:eastAsia="仿宋_GB2312"/>
          <w:sz w:val="28"/>
          <w:szCs w:val="28"/>
        </w:rPr>
        <w:t>E-mail：cacfo</w:t>
      </w:r>
      <w:r>
        <w:rPr>
          <w:rFonts w:ascii="仿宋_GB2312" w:hAnsi="宋体" w:eastAsia="仿宋_GB2312"/>
          <w:sz w:val="28"/>
          <w:szCs w:val="28"/>
        </w:rPr>
        <w:t>@13</w:t>
      </w:r>
      <w:r>
        <w:rPr>
          <w:rFonts w:hint="eastAsia" w:ascii="仿宋_GB2312" w:hAnsi="宋体" w:eastAsia="仿宋_GB2312"/>
          <w:sz w:val="28"/>
          <w:szCs w:val="28"/>
        </w:rPr>
        <w:t>9</w:t>
      </w:r>
      <w:r>
        <w:rPr>
          <w:rFonts w:ascii="仿宋_GB2312" w:hAnsi="宋体" w:eastAsia="仿宋_GB2312"/>
          <w:sz w:val="28"/>
          <w:szCs w:val="28"/>
        </w:rPr>
        <w:t>.com</w:t>
      </w:r>
      <w:r>
        <w:rPr>
          <w:rFonts w:hint="eastAsia" w:ascii="仿宋_GB2312" w:hAnsi="宋体" w:eastAsia="仿宋_GB2312"/>
          <w:sz w:val="28"/>
          <w:szCs w:val="28"/>
        </w:rPr>
        <w:t>；培训部E-mail：peixun@cacfo.com</w:t>
      </w:r>
      <w:r>
        <w:rPr>
          <w:rFonts w:hint="eastAsia" w:ascii="仿宋_GB2312" w:eastAsia="仿宋_GB2312"/>
          <w:sz w:val="28"/>
          <w:szCs w:val="28"/>
        </w:rPr>
        <w:t>）。参训人员可提前将培训费用汇入指定银行账号；并于每期培训班开班前十天，将银行汇款凭证和报名表传真至会务组，以便确认安排具体事宜</w:t>
      </w:r>
      <w:r>
        <w:rPr>
          <w:rFonts w:hint="eastAsia" w:ascii="仿宋_GB2312" w:eastAsia="仿宋_GB2312"/>
          <w:spacing w:val="-2"/>
          <w:sz w:val="28"/>
          <w:szCs w:val="28"/>
        </w:rPr>
        <w:t>。</w:t>
      </w:r>
      <w:r>
        <w:rPr>
          <w:rFonts w:hint="eastAsia" w:ascii="仿宋_GB2312" w:eastAsia="仿宋_GB2312"/>
          <w:sz w:val="28"/>
          <w:szCs w:val="28"/>
        </w:rPr>
        <w:t>会务组将于每期培训班开班前七天通知参训人员报到的详细地点、乘车路线及有关事项。</w:t>
      </w:r>
    </w:p>
    <w:p>
      <w:pPr>
        <w:spacing w:before="93" w:beforeLines="30" w:after="93" w:afterLines="30"/>
        <w:ind w:firstLine="548" w:firstLineChars="196"/>
        <w:rPr>
          <w:rFonts w:ascii="仿宋_GB2312" w:hAnsi="宋体" w:eastAsia="仿宋_GB2312"/>
          <w:bCs/>
          <w:sz w:val="28"/>
          <w:szCs w:val="28"/>
        </w:rPr>
      </w:pPr>
      <w:r>
        <w:rPr>
          <w:rFonts w:hint="eastAsia" w:ascii="仿宋_GB2312" w:eastAsia="仿宋_GB2312"/>
          <w:sz w:val="28"/>
          <w:szCs w:val="28"/>
        </w:rPr>
        <w:t>汇款方式:</w:t>
      </w:r>
      <w:r>
        <w:rPr>
          <w:rFonts w:hint="eastAsia" w:ascii="仿宋_GB2312" w:hAnsi="宋体" w:eastAsia="仿宋_GB2312"/>
          <w:bCs/>
          <w:sz w:val="28"/>
          <w:szCs w:val="28"/>
        </w:rPr>
        <w:t>户  名：北京国培创新教育科技股份有限公司</w:t>
      </w:r>
    </w:p>
    <w:p>
      <w:pPr>
        <w:spacing w:before="30" w:after="93" w:afterLines="30"/>
        <w:ind w:firstLine="1960" w:firstLineChars="700"/>
        <w:rPr>
          <w:rFonts w:ascii="仿宋_GB2312" w:hAnsi="宋体" w:eastAsia="仿宋_GB2312"/>
          <w:bCs/>
          <w:sz w:val="28"/>
          <w:szCs w:val="28"/>
        </w:rPr>
      </w:pPr>
      <w:r>
        <w:rPr>
          <w:rFonts w:hint="eastAsia" w:ascii="仿宋_GB2312" w:hAnsi="宋体" w:eastAsia="仿宋_GB2312"/>
          <w:bCs/>
          <w:sz w:val="28"/>
          <w:szCs w:val="28"/>
        </w:rPr>
        <w:t>开户行：中国工商银行海淀支行营业部</w:t>
      </w:r>
    </w:p>
    <w:p>
      <w:pPr>
        <w:spacing w:before="30" w:after="93" w:afterLines="30"/>
        <w:ind w:firstLine="1960" w:firstLineChars="700"/>
        <w:rPr>
          <w:rFonts w:ascii="仿宋_GB2312" w:hAnsi="宋体" w:eastAsia="仿宋_GB2312"/>
          <w:bCs/>
          <w:spacing w:val="6"/>
          <w:sz w:val="28"/>
          <w:szCs w:val="28"/>
        </w:rPr>
      </w:pPr>
      <w:r>
        <w:rPr>
          <w:rFonts w:hint="eastAsia" w:ascii="仿宋_GB2312" w:hAnsi="宋体" w:eastAsia="仿宋_GB2312"/>
          <w:bCs/>
          <w:sz w:val="28"/>
          <w:szCs w:val="28"/>
        </w:rPr>
        <w:t>帐  号：</w:t>
      </w:r>
      <w:r>
        <w:rPr>
          <w:rFonts w:ascii="仿宋_GB2312" w:hAnsi="宋体" w:eastAsia="仿宋_GB2312"/>
          <w:bCs/>
          <w:spacing w:val="6"/>
          <w:sz w:val="28"/>
          <w:szCs w:val="28"/>
        </w:rPr>
        <w:t>0200151609100016356</w:t>
      </w:r>
    </w:p>
    <w:p>
      <w:pPr>
        <w:ind w:firstLine="560" w:firstLineChars="200"/>
        <w:rPr>
          <w:rFonts w:ascii="仿宋_GB2312" w:eastAsia="仿宋_GB2312"/>
          <w:sz w:val="28"/>
          <w:szCs w:val="28"/>
        </w:rPr>
      </w:pPr>
      <w:r>
        <w:rPr>
          <w:rFonts w:hint="eastAsia" w:ascii="仿宋_GB2312" w:hAnsi="宋体" w:eastAsia="仿宋_GB2312"/>
          <w:bCs/>
          <w:sz w:val="28"/>
          <w:szCs w:val="28"/>
        </w:rPr>
        <w:t>本《通知》文件信息发布见中国总会计师协会网站</w:t>
      </w:r>
      <w:r>
        <w:fldChar w:fldCharType="begin"/>
      </w:r>
      <w:r>
        <w:instrText xml:space="preserve"> HYPERLINK "http://www.cacfo.com" </w:instrText>
      </w:r>
      <w:r>
        <w:fldChar w:fldCharType="separate"/>
      </w:r>
      <w:r>
        <w:rPr>
          <w:rFonts w:hint="eastAsia" w:ascii="仿宋_GB2312" w:eastAsia="仿宋_GB2312"/>
          <w:color w:val="000000"/>
          <w:sz w:val="28"/>
          <w:szCs w:val="28"/>
        </w:rPr>
        <w:t>www.cacfo.com</w:t>
      </w:r>
      <w:r>
        <w:rPr>
          <w:rFonts w:hint="eastAsia" w:ascii="仿宋_GB2312" w:eastAsia="仿宋_GB2312"/>
          <w:color w:val="000000"/>
          <w:sz w:val="28"/>
          <w:szCs w:val="28"/>
        </w:rPr>
        <w:fldChar w:fldCharType="end"/>
      </w:r>
      <w:r>
        <w:rPr>
          <w:rFonts w:hint="eastAsia" w:ascii="仿宋_GB2312" w:eastAsia="仿宋_GB2312"/>
          <w:sz w:val="28"/>
          <w:szCs w:val="28"/>
        </w:rPr>
        <w:t>和国培财经网站</w:t>
      </w:r>
      <w:r>
        <w:rPr>
          <w:rFonts w:hint="eastAsia" w:ascii="仿宋_GB2312" w:hAnsi="宋体" w:eastAsia="仿宋_GB2312"/>
          <w:bCs/>
          <w:sz w:val="28"/>
          <w:szCs w:val="28"/>
        </w:rPr>
        <w:t>www.guopeicaijing.com</w:t>
      </w:r>
      <w:r>
        <w:rPr>
          <w:rFonts w:ascii="仿宋_GB2312" w:eastAsia="仿宋_GB2312"/>
          <w:sz w:val="28"/>
          <w:szCs w:val="28"/>
        </w:rPr>
        <w:t>。</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七、培训证书</w:t>
      </w:r>
    </w:p>
    <w:p>
      <w:pPr>
        <w:ind w:firstLine="556"/>
        <w:rPr>
          <w:rFonts w:ascii="仿宋_GB2312" w:eastAsia="仿宋_GB2312"/>
          <w:sz w:val="28"/>
          <w:szCs w:val="28"/>
        </w:rPr>
      </w:pPr>
      <w:r>
        <w:rPr>
          <w:rFonts w:hint="eastAsia" w:ascii="仿宋_GB2312" w:eastAsia="仿宋_GB2312"/>
          <w:sz w:val="28"/>
          <w:szCs w:val="28"/>
        </w:rPr>
        <w:t>培训班学习期满，颁发中国总会计师协会《培训结业证书》。</w:t>
      </w:r>
    </w:p>
    <w:p>
      <w:pPr>
        <w:spacing w:before="156" w:beforeLines="50" w:after="93" w:afterLines="30"/>
        <w:ind w:firstLine="556"/>
        <w:rPr>
          <w:rFonts w:ascii="黑体" w:eastAsia="黑体"/>
          <w:b/>
          <w:sz w:val="28"/>
          <w:szCs w:val="28"/>
        </w:rPr>
      </w:pPr>
      <w:r>
        <w:rPr>
          <w:rFonts w:hint="eastAsia" w:ascii="黑体" w:eastAsia="黑体"/>
          <w:b/>
          <w:sz w:val="28"/>
          <w:szCs w:val="28"/>
        </w:rPr>
        <w:t>八、联系方式</w:t>
      </w:r>
    </w:p>
    <w:p>
      <w:pPr>
        <w:spacing w:after="93" w:afterLines="30"/>
        <w:ind w:firstLine="560" w:firstLineChars="200"/>
        <w:rPr>
          <w:rFonts w:ascii="黑体" w:eastAsia="黑体"/>
          <w:b/>
          <w:spacing w:val="-10"/>
          <w:sz w:val="28"/>
          <w:szCs w:val="28"/>
        </w:rPr>
      </w:pPr>
      <w:r>
        <w:rPr>
          <w:rFonts w:hint="eastAsia" w:ascii="仿宋_GB2312" w:eastAsia="仿宋_GB2312"/>
          <w:sz w:val="28"/>
          <w:szCs w:val="28"/>
        </w:rPr>
        <w:t>咨询电话：</w:t>
      </w:r>
      <w:r>
        <w:rPr>
          <w:rFonts w:hint="eastAsia" w:ascii="仿宋_GB2312" w:eastAsia="仿宋_GB2312"/>
          <w:color w:val="000000"/>
          <w:sz w:val="28"/>
          <w:szCs w:val="28"/>
        </w:rPr>
        <w:t>010-</w:t>
      </w:r>
      <w:r>
        <w:rPr>
          <w:rFonts w:ascii="仿宋_GB2312" w:eastAsia="仿宋_GB2312"/>
          <w:sz w:val="28"/>
          <w:szCs w:val="28"/>
        </w:rPr>
        <w:t>53771881</w:t>
      </w:r>
      <w:r>
        <w:rPr>
          <w:rFonts w:hint="eastAsia" w:ascii="仿宋_GB2312" w:eastAsia="仿宋_GB2312"/>
          <w:color w:val="000000"/>
          <w:sz w:val="28"/>
          <w:szCs w:val="28"/>
        </w:rPr>
        <w:t>、</w:t>
      </w:r>
      <w:r>
        <w:rPr>
          <w:rFonts w:ascii="仿宋_GB2312" w:eastAsia="仿宋_GB2312"/>
          <w:sz w:val="28"/>
          <w:szCs w:val="28"/>
        </w:rPr>
        <w:t>5377188</w:t>
      </w:r>
      <w:r>
        <w:rPr>
          <w:rFonts w:hint="eastAsia" w:ascii="仿宋_GB2312" w:eastAsia="仿宋_GB2312"/>
          <w:sz w:val="28"/>
          <w:szCs w:val="28"/>
        </w:rPr>
        <w:t>2， 88191832（中总协培训部）</w:t>
      </w:r>
    </w:p>
    <w:p>
      <w:pPr>
        <w:ind w:firstLine="555"/>
        <w:rPr>
          <w:rFonts w:ascii="仿宋_GB2312" w:eastAsia="仿宋_GB2312"/>
          <w:sz w:val="28"/>
          <w:szCs w:val="28"/>
        </w:rPr>
      </w:pPr>
      <w:r>
        <w:rPr>
          <w:rFonts w:hint="eastAsia" w:ascii="仿宋_GB2312" w:eastAsia="仿宋_GB2312"/>
          <w:sz w:val="28"/>
          <w:szCs w:val="28"/>
        </w:rPr>
        <w:t>报名传真：010-</w:t>
      </w:r>
      <w:r>
        <w:rPr>
          <w:rFonts w:ascii="仿宋_GB2312" w:eastAsia="仿宋_GB2312"/>
          <w:sz w:val="28"/>
          <w:szCs w:val="28"/>
        </w:rPr>
        <w:t>5377188</w:t>
      </w:r>
      <w:r>
        <w:rPr>
          <w:rFonts w:hint="eastAsia" w:ascii="仿宋_GB2312" w:eastAsia="仿宋_GB2312"/>
          <w:sz w:val="28"/>
          <w:szCs w:val="28"/>
        </w:rPr>
        <w:t>2、</w:t>
      </w:r>
      <w:r>
        <w:rPr>
          <w:rFonts w:ascii="仿宋_GB2312" w:eastAsia="仿宋_GB2312"/>
          <w:sz w:val="28"/>
          <w:szCs w:val="28"/>
        </w:rPr>
        <w:t>53771881</w:t>
      </w:r>
    </w:p>
    <w:p>
      <w:pPr>
        <w:ind w:firstLine="555"/>
        <w:rPr>
          <w:rFonts w:ascii="仿宋_GB2312" w:eastAsia="仿宋_GB2312"/>
          <w:sz w:val="28"/>
          <w:szCs w:val="28"/>
        </w:rPr>
      </w:pPr>
      <w:r>
        <w:rPr>
          <w:rFonts w:hint="eastAsia" w:ascii="仿宋_GB2312" w:eastAsia="仿宋_GB2312"/>
          <w:sz w:val="28"/>
          <w:szCs w:val="28"/>
        </w:rPr>
        <w:t>联 系 人：攸兴臣，韦正龙，桑立强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26362"/>
    <w:multiLevelType w:val="multilevel"/>
    <w:tmpl w:val="25A26362"/>
    <w:lvl w:ilvl="0" w:tentative="0">
      <w:start w:val="4"/>
      <w:numFmt w:val="decimal"/>
      <w:lvlText w:val="（%1）"/>
      <w:lvlJc w:val="left"/>
      <w:pPr>
        <w:ind w:left="1280" w:hanging="720"/>
      </w:pPr>
      <w:rPr>
        <w:rFonts w:hint="default" w:ascii="仿宋_GB2312" w:eastAsia="仿宋_GB2312" w:cs="仿宋_GB2312"/>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F330100"/>
    <w:multiLevelType w:val="multilevel"/>
    <w:tmpl w:val="2F330100"/>
    <w:lvl w:ilvl="0" w:tentative="0">
      <w:start w:val="4"/>
      <w:numFmt w:val="decimal"/>
      <w:lvlText w:val="（%1）"/>
      <w:lvlJc w:val="left"/>
      <w:pPr>
        <w:ind w:left="1280" w:hanging="720"/>
      </w:pPr>
      <w:rPr>
        <w:rFonts w:hint="default"/>
      </w:rPr>
    </w:lvl>
    <w:lvl w:ilvl="1" w:tentative="0">
      <w:start w:val="4"/>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71653"/>
    <w:rsid w:val="78C7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2019-04-16T00:52:00Z</dcterms:created>
  <dc:creator>桑立强</dc:creator>
  <cp:lastModifiedBy>桑立强</cp:lastModifiedBy>
  <dcterms:modified xsi:type="dcterms:W3CDTF">2019-04-16T00:52:55Z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