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sz w:val="28"/>
          <w:szCs w:val="28"/>
        </w:rPr>
      </w:pPr>
      <w:r>
        <w:rPr>
          <w:rFonts w:hint="eastAsia" w:ascii="仿宋_GB2312" w:eastAsia="仿宋_GB2312"/>
          <w:sz w:val="28"/>
          <w:szCs w:val="28"/>
        </w:rPr>
        <w:t>附件1：</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宋体" w:hAnsi="宋体"/>
          <w:b/>
          <w:kern w:val="0"/>
          <w:sz w:val="32"/>
          <w:szCs w:val="32"/>
        </w:rPr>
      </w:pPr>
      <w:r>
        <w:rPr>
          <w:rFonts w:hint="eastAsia" w:ascii="宋体" w:hAnsi="宋体"/>
          <w:b/>
          <w:kern w:val="0"/>
          <w:sz w:val="32"/>
          <w:szCs w:val="32"/>
        </w:rPr>
        <w:t>《经济责任审计、职业舞弊透视与风险防范专题培训班》</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21" w:firstLineChars="100"/>
        <w:jc w:val="center"/>
        <w:textAlignment w:val="auto"/>
        <w:rPr>
          <w:rFonts w:ascii="宋体" w:hAnsi="宋体"/>
          <w:b/>
          <w:kern w:val="0"/>
          <w:sz w:val="32"/>
          <w:szCs w:val="32"/>
        </w:rPr>
      </w:pPr>
      <w:r>
        <w:rPr>
          <w:rFonts w:hint="eastAsia" w:ascii="宋体" w:hAnsi="宋体"/>
          <w:b/>
          <w:kern w:val="0"/>
          <w:sz w:val="32"/>
          <w:szCs w:val="32"/>
        </w:rPr>
        <w:t>工</w:t>
      </w:r>
      <w:r>
        <w:rPr>
          <w:rFonts w:hint="eastAsia" w:ascii="宋体" w:hAnsi="宋体"/>
          <w:b/>
          <w:kern w:val="0"/>
          <w:sz w:val="32"/>
          <w:szCs w:val="32"/>
          <w:lang w:val="en-US" w:eastAsia="zh-CN"/>
        </w:rPr>
        <w:t xml:space="preserve"> </w:t>
      </w:r>
      <w:r>
        <w:rPr>
          <w:rFonts w:hint="eastAsia" w:ascii="宋体" w:hAnsi="宋体"/>
          <w:b/>
          <w:kern w:val="0"/>
          <w:sz w:val="32"/>
          <w:szCs w:val="32"/>
        </w:rPr>
        <w:t>作</w:t>
      </w:r>
      <w:r>
        <w:rPr>
          <w:rFonts w:hint="eastAsia" w:ascii="宋体" w:hAnsi="宋体"/>
          <w:b/>
          <w:kern w:val="0"/>
          <w:sz w:val="32"/>
          <w:szCs w:val="32"/>
          <w:lang w:val="en-US" w:eastAsia="zh-CN"/>
        </w:rPr>
        <w:t xml:space="preserve"> </w:t>
      </w:r>
      <w:r>
        <w:rPr>
          <w:rFonts w:hint="eastAsia" w:ascii="宋体" w:hAnsi="宋体"/>
          <w:b/>
          <w:kern w:val="0"/>
          <w:sz w:val="32"/>
          <w:szCs w:val="32"/>
        </w:rPr>
        <w:t>方</w:t>
      </w:r>
      <w:r>
        <w:rPr>
          <w:rFonts w:hint="eastAsia" w:ascii="宋体" w:hAnsi="宋体"/>
          <w:b/>
          <w:kern w:val="0"/>
          <w:sz w:val="32"/>
          <w:szCs w:val="32"/>
          <w:lang w:val="en-US" w:eastAsia="zh-CN"/>
        </w:rPr>
        <w:t xml:space="preserve"> </w:t>
      </w:r>
      <w:r>
        <w:rPr>
          <w:rFonts w:hint="eastAsia" w:ascii="宋体" w:hAnsi="宋体"/>
          <w:b/>
          <w:kern w:val="0"/>
          <w:sz w:val="32"/>
          <w:szCs w:val="32"/>
        </w:rPr>
        <w:t>案</w:t>
      </w:r>
    </w:p>
    <w:p>
      <w:pPr>
        <w:keepNext w:val="0"/>
        <w:keepLines w:val="0"/>
        <w:pageBreakBefore w:val="0"/>
        <w:kinsoku/>
        <w:wordWrap/>
        <w:overflowPunct/>
        <w:topLinePunct w:val="0"/>
        <w:autoSpaceDE/>
        <w:autoSpaceDN/>
        <w:bidi w:val="0"/>
        <w:adjustRightInd/>
        <w:snapToGrid/>
        <w:spacing w:before="156" w:beforeLines="50" w:line="500" w:lineRule="exact"/>
        <w:ind w:firstLine="562" w:firstLineChars="200"/>
        <w:textAlignment w:val="auto"/>
        <w:rPr>
          <w:rFonts w:ascii="仿宋_GB2312" w:eastAsia="仿宋_GB2312"/>
          <w:sz w:val="28"/>
          <w:szCs w:val="28"/>
        </w:rPr>
      </w:pPr>
      <w:r>
        <w:rPr>
          <w:rFonts w:hint="eastAsia" w:ascii="仿宋_GB2312" w:eastAsia="仿宋_GB2312"/>
          <w:b/>
          <w:sz w:val="28"/>
          <w:szCs w:val="28"/>
        </w:rPr>
        <w:t>主管主办单位：</w:t>
      </w:r>
      <w:r>
        <w:rPr>
          <w:rFonts w:hint="eastAsia" w:ascii="仿宋_GB2312" w:eastAsia="仿宋_GB2312"/>
          <w:sz w:val="28"/>
          <w:szCs w:val="28"/>
        </w:rPr>
        <w:t>中国总会计师协会</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ascii="仿宋_GB2312" w:eastAsia="仿宋_GB2312"/>
          <w:sz w:val="28"/>
          <w:szCs w:val="28"/>
        </w:rPr>
      </w:pPr>
      <w:r>
        <w:rPr>
          <w:rFonts w:hint="eastAsia" w:ascii="仿宋_GB2312" w:eastAsia="仿宋_GB2312"/>
          <w:b/>
          <w:sz w:val="28"/>
          <w:szCs w:val="28"/>
        </w:rPr>
        <w:t>委托承办单位：</w:t>
      </w:r>
      <w:r>
        <w:rPr>
          <w:rFonts w:hint="eastAsia" w:ascii="仿宋_GB2312" w:eastAsia="仿宋_GB2312"/>
          <w:sz w:val="28"/>
          <w:szCs w:val="28"/>
        </w:rPr>
        <w:t>北京国培创</w:t>
      </w:r>
      <w:bookmarkStart w:id="0" w:name="_GoBack"/>
      <w:bookmarkEnd w:id="0"/>
      <w:r>
        <w:rPr>
          <w:rFonts w:hint="eastAsia" w:ascii="仿宋_GB2312" w:eastAsia="仿宋_GB2312"/>
          <w:sz w:val="28"/>
          <w:szCs w:val="28"/>
        </w:rPr>
        <w:t>新教育科技股份有限公司（国培机构）</w:t>
      </w:r>
    </w:p>
    <w:p>
      <w:pPr>
        <w:keepNext w:val="0"/>
        <w:keepLines w:val="0"/>
        <w:pageBreakBefore w:val="0"/>
        <w:kinsoku/>
        <w:wordWrap/>
        <w:overflowPunct/>
        <w:topLinePunct w:val="0"/>
        <w:autoSpaceDE/>
        <w:autoSpaceDN/>
        <w:bidi w:val="0"/>
        <w:adjustRightInd/>
        <w:snapToGrid/>
        <w:spacing w:before="156" w:beforeLines="50" w:after="312" w:afterLines="100" w:line="500" w:lineRule="exact"/>
        <w:ind w:firstLine="650" w:firstLineChars="249"/>
        <w:textAlignment w:val="auto"/>
        <w:rPr>
          <w:rFonts w:ascii="黑体" w:hAnsi="黑体" w:eastAsia="黑体"/>
          <w:b/>
          <w:spacing w:val="-10"/>
          <w:sz w:val="28"/>
          <w:szCs w:val="28"/>
        </w:rPr>
      </w:pPr>
      <w:r>
        <w:rPr>
          <w:rFonts w:hint="eastAsia" w:ascii="黑体" w:hAnsi="黑体" w:eastAsia="黑体"/>
          <w:b/>
          <w:spacing w:val="-10"/>
          <w:sz w:val="28"/>
          <w:szCs w:val="28"/>
        </w:rPr>
        <w:t>一、时间地点</w:t>
      </w:r>
    </w:p>
    <w:tbl>
      <w:tblPr>
        <w:tblStyle w:val="2"/>
        <w:tblW w:w="5346" w:type="dxa"/>
        <w:jc w:val="center"/>
        <w:tblInd w:w="0" w:type="dxa"/>
        <w:tblLayout w:type="fixed"/>
        <w:tblCellMar>
          <w:top w:w="0" w:type="dxa"/>
          <w:left w:w="108" w:type="dxa"/>
          <w:bottom w:w="0" w:type="dxa"/>
          <w:right w:w="108" w:type="dxa"/>
        </w:tblCellMar>
      </w:tblPr>
      <w:tblGrid>
        <w:gridCol w:w="2816"/>
        <w:gridCol w:w="2530"/>
      </w:tblGrid>
      <w:tr>
        <w:tblPrEx>
          <w:tblLayout w:type="fixed"/>
          <w:tblCellMar>
            <w:top w:w="0" w:type="dxa"/>
            <w:left w:w="108" w:type="dxa"/>
            <w:bottom w:w="0" w:type="dxa"/>
            <w:right w:w="108" w:type="dxa"/>
          </w:tblCellMar>
        </w:tblPrEx>
        <w:trPr>
          <w:trHeight w:val="455" w:hRule="exact"/>
          <w:jc w:val="center"/>
        </w:trPr>
        <w:tc>
          <w:tcPr>
            <w:tcW w:w="2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时间</w:t>
            </w:r>
          </w:p>
        </w:tc>
        <w:tc>
          <w:tcPr>
            <w:tcW w:w="2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地点</w:t>
            </w:r>
          </w:p>
        </w:tc>
      </w:tr>
      <w:tr>
        <w:tblPrEx>
          <w:tblLayout w:type="fixed"/>
          <w:tblCellMar>
            <w:top w:w="0" w:type="dxa"/>
            <w:left w:w="108" w:type="dxa"/>
            <w:bottom w:w="0" w:type="dxa"/>
            <w:right w:w="108" w:type="dxa"/>
          </w:tblCellMar>
        </w:tblPrEx>
        <w:trPr>
          <w:trHeight w:val="510" w:hRule="exact"/>
          <w:jc w:val="center"/>
        </w:trPr>
        <w:tc>
          <w:tcPr>
            <w:tcW w:w="2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kern w:val="0"/>
                <w:sz w:val="24"/>
              </w:rPr>
            </w:pPr>
            <w:r>
              <w:rPr>
                <w:rFonts w:hint="eastAsia" w:ascii="仿宋_GB2312" w:hAnsi="宋体" w:eastAsia="仿宋_GB2312" w:cs="宋体"/>
                <w:kern w:val="0"/>
                <w:sz w:val="24"/>
              </w:rPr>
              <w:t>10月23日-2</w:t>
            </w:r>
            <w:r>
              <w:rPr>
                <w:rFonts w:hint="eastAsia" w:ascii="仿宋_GB2312" w:hAnsi="宋体" w:eastAsia="仿宋_GB2312" w:cs="宋体"/>
                <w:kern w:val="0"/>
                <w:sz w:val="24"/>
                <w:lang w:val="en-US" w:eastAsia="zh-CN"/>
              </w:rPr>
              <w:t>8</w:t>
            </w:r>
            <w:r>
              <w:rPr>
                <w:rFonts w:hint="eastAsia" w:ascii="仿宋_GB2312" w:hAnsi="宋体" w:eastAsia="仿宋_GB2312" w:cs="宋体"/>
                <w:kern w:val="0"/>
                <w:sz w:val="24"/>
              </w:rPr>
              <w:t>日</w:t>
            </w:r>
          </w:p>
        </w:tc>
        <w:tc>
          <w:tcPr>
            <w:tcW w:w="2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宋体"/>
                <w:kern w:val="0"/>
                <w:sz w:val="24"/>
              </w:rPr>
            </w:pPr>
            <w:r>
              <w:rPr>
                <w:rFonts w:hint="eastAsia" w:ascii="仿宋_GB2312" w:hAnsi="宋体" w:eastAsia="仿宋_GB2312" w:cs="宋体"/>
                <w:kern w:val="0"/>
                <w:sz w:val="24"/>
              </w:rPr>
              <w:t>厦门</w:t>
            </w:r>
          </w:p>
        </w:tc>
      </w:tr>
      <w:tr>
        <w:tblPrEx>
          <w:tblLayout w:type="fixed"/>
          <w:tblCellMar>
            <w:top w:w="0" w:type="dxa"/>
            <w:left w:w="108" w:type="dxa"/>
            <w:bottom w:w="0" w:type="dxa"/>
            <w:right w:w="108" w:type="dxa"/>
          </w:tblCellMar>
        </w:tblPrEx>
        <w:trPr>
          <w:trHeight w:val="510" w:hRule="exact"/>
          <w:jc w:val="center"/>
        </w:trPr>
        <w:tc>
          <w:tcPr>
            <w:tcW w:w="2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13</w:t>
            </w:r>
            <w:r>
              <w:rPr>
                <w:rFonts w:hint="eastAsia" w:ascii="仿宋_GB2312" w:hAnsi="宋体" w:eastAsia="仿宋_GB2312" w:cs="宋体"/>
                <w:kern w:val="0"/>
                <w:sz w:val="24"/>
              </w:rPr>
              <w:t>日-</w:t>
            </w:r>
            <w:r>
              <w:rPr>
                <w:rFonts w:hint="eastAsia" w:ascii="仿宋_GB2312" w:hAnsi="宋体" w:eastAsia="仿宋_GB2312" w:cs="宋体"/>
                <w:kern w:val="0"/>
                <w:sz w:val="24"/>
                <w:lang w:val="en-US" w:eastAsia="zh-CN"/>
              </w:rPr>
              <w:t>18</w:t>
            </w:r>
            <w:r>
              <w:rPr>
                <w:rFonts w:hint="eastAsia" w:ascii="仿宋_GB2312" w:hAnsi="宋体" w:eastAsia="仿宋_GB2312" w:cs="宋体"/>
                <w:kern w:val="0"/>
                <w:sz w:val="24"/>
              </w:rPr>
              <w:t>日</w:t>
            </w:r>
          </w:p>
        </w:tc>
        <w:tc>
          <w:tcPr>
            <w:tcW w:w="2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海口</w:t>
            </w:r>
          </w:p>
        </w:tc>
      </w:tr>
      <w:tr>
        <w:tblPrEx>
          <w:tblLayout w:type="fixed"/>
          <w:tblCellMar>
            <w:top w:w="0" w:type="dxa"/>
            <w:left w:w="108" w:type="dxa"/>
            <w:bottom w:w="0" w:type="dxa"/>
            <w:right w:w="108" w:type="dxa"/>
          </w:tblCellMar>
        </w:tblPrEx>
        <w:trPr>
          <w:trHeight w:val="510" w:hRule="exact"/>
          <w:jc w:val="center"/>
        </w:trPr>
        <w:tc>
          <w:tcPr>
            <w:tcW w:w="2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宋体" w:eastAsia="仿宋_GB2312" w:cs="宋体"/>
                <w:kern w:val="0"/>
                <w:sz w:val="24"/>
              </w:rPr>
            </w:pPr>
            <w:r>
              <w:rPr>
                <w:rFonts w:hint="eastAsia" w:ascii="仿宋_GB2312" w:hAnsi="宋体" w:eastAsia="仿宋_GB2312" w:cs="宋体"/>
                <w:kern w:val="0"/>
                <w:sz w:val="24"/>
              </w:rPr>
              <w:t xml:space="preserve">12月 4 日- </w:t>
            </w:r>
            <w:r>
              <w:rPr>
                <w:rFonts w:hint="eastAsia" w:ascii="仿宋_GB2312" w:hAnsi="宋体" w:eastAsia="仿宋_GB2312" w:cs="宋体"/>
                <w:kern w:val="0"/>
                <w:sz w:val="24"/>
                <w:lang w:val="en-US" w:eastAsia="zh-CN"/>
              </w:rPr>
              <w:t>9</w:t>
            </w:r>
            <w:r>
              <w:rPr>
                <w:rFonts w:hint="eastAsia" w:ascii="仿宋_GB2312" w:hAnsi="宋体" w:eastAsia="仿宋_GB2312" w:cs="宋体"/>
                <w:kern w:val="0"/>
                <w:sz w:val="24"/>
              </w:rPr>
              <w:t>日</w:t>
            </w:r>
          </w:p>
        </w:tc>
        <w:tc>
          <w:tcPr>
            <w:tcW w:w="2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宋体" w:eastAsia="仿宋_GB2312" w:cs="宋体"/>
                <w:kern w:val="0"/>
                <w:sz w:val="24"/>
              </w:rPr>
            </w:pPr>
            <w:r>
              <w:rPr>
                <w:rFonts w:hint="eastAsia" w:ascii="仿宋_GB2312" w:hAnsi="宋体" w:eastAsia="仿宋_GB2312" w:cs="宋体"/>
                <w:kern w:val="0"/>
                <w:sz w:val="24"/>
              </w:rPr>
              <w:t>昆明</w:t>
            </w:r>
          </w:p>
        </w:tc>
      </w:tr>
    </w:tbl>
    <w:p>
      <w:pPr>
        <w:keepNext w:val="0"/>
        <w:keepLines w:val="0"/>
        <w:pageBreakBefore w:val="0"/>
        <w:tabs>
          <w:tab w:val="left" w:pos="1620"/>
          <w:tab w:val="left" w:pos="1800"/>
        </w:tabs>
        <w:kinsoku/>
        <w:wordWrap/>
        <w:overflowPunct/>
        <w:topLinePunct w:val="0"/>
        <w:autoSpaceDE/>
        <w:autoSpaceDN/>
        <w:bidi w:val="0"/>
        <w:adjustRightInd/>
        <w:snapToGrid/>
        <w:spacing w:before="93" w:beforeLines="30" w:line="500" w:lineRule="exact"/>
        <w:jc w:val="left"/>
        <w:textAlignment w:val="auto"/>
        <w:rPr>
          <w:rFonts w:ascii="仿宋_GB2312" w:hAnsi="宋体" w:eastAsia="仿宋_GB2312"/>
          <w:sz w:val="28"/>
          <w:szCs w:val="28"/>
        </w:rPr>
      </w:pPr>
      <w:r>
        <w:rPr>
          <w:rFonts w:hint="eastAsia" w:ascii="仿宋_GB2312" w:eastAsia="仿宋_GB2312"/>
          <w:sz w:val="28"/>
          <w:szCs w:val="28"/>
        </w:rPr>
        <w:t>注：</w:t>
      </w:r>
      <w:r>
        <w:rPr>
          <w:rFonts w:hint="eastAsia" w:ascii="仿宋_GB2312" w:hAnsi="宋体" w:eastAsia="仿宋_GB2312"/>
          <w:sz w:val="28"/>
          <w:szCs w:val="28"/>
        </w:rPr>
        <w:t>1、专题方案电子版请登录中国总会计师协会网站和国培财经网站获取；或致电010-</w:t>
      </w:r>
      <w:r>
        <w:rPr>
          <w:rFonts w:ascii="仿宋_GB2312" w:hAnsi="宋体" w:eastAsia="仿宋_GB2312"/>
          <w:sz w:val="28"/>
          <w:szCs w:val="28"/>
        </w:rPr>
        <w:t>53771881</w:t>
      </w:r>
      <w:r>
        <w:rPr>
          <w:rFonts w:hint="eastAsia" w:ascii="仿宋_GB2312" w:hAnsi="宋体" w:eastAsia="仿宋_GB2312"/>
          <w:sz w:val="28"/>
          <w:szCs w:val="28"/>
        </w:rPr>
        <w:t>、</w:t>
      </w:r>
      <w:r>
        <w:rPr>
          <w:rFonts w:ascii="仿宋_GB2312" w:eastAsia="仿宋_GB2312"/>
          <w:sz w:val="28"/>
          <w:szCs w:val="28"/>
        </w:rPr>
        <w:t>5377188</w:t>
      </w:r>
      <w:r>
        <w:rPr>
          <w:rFonts w:hint="eastAsia" w:ascii="仿宋_GB2312" w:eastAsia="仿宋_GB2312"/>
          <w:sz w:val="28"/>
          <w:szCs w:val="28"/>
        </w:rPr>
        <w:t>2</w:t>
      </w:r>
      <w:r>
        <w:rPr>
          <w:rFonts w:hint="eastAsia" w:ascii="仿宋_GB2312" w:hAnsi="宋体" w:eastAsia="仿宋_GB2312"/>
          <w:sz w:val="28"/>
          <w:szCs w:val="28"/>
        </w:rPr>
        <w:t>索取。</w:t>
      </w:r>
    </w:p>
    <w:p>
      <w:pPr>
        <w:keepNext w:val="0"/>
        <w:keepLines w:val="0"/>
        <w:pageBreakBefore w:val="0"/>
        <w:tabs>
          <w:tab w:val="left" w:pos="1620"/>
          <w:tab w:val="left" w:pos="1800"/>
        </w:tabs>
        <w:kinsoku/>
        <w:wordWrap/>
        <w:overflowPunct/>
        <w:topLinePunct w:val="0"/>
        <w:autoSpaceDE/>
        <w:autoSpaceDN/>
        <w:bidi w:val="0"/>
        <w:adjustRightInd/>
        <w:snapToGrid/>
        <w:spacing w:line="500" w:lineRule="exact"/>
        <w:ind w:firstLine="523" w:firstLineChars="187"/>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color w:val="000000"/>
          <w:sz w:val="28"/>
          <w:szCs w:val="28"/>
        </w:rPr>
        <w:t>欢迎各会员单位和有关单位选择相关专题组织内训，我们将根据需求认真筹划、规范组织；烦请提前与我们联系，以预做准备。</w:t>
      </w:r>
    </w:p>
    <w:p>
      <w:pPr>
        <w:keepNext w:val="0"/>
        <w:keepLines w:val="0"/>
        <w:pageBreakBefore w:val="0"/>
        <w:tabs>
          <w:tab w:val="left" w:pos="1620"/>
          <w:tab w:val="left" w:pos="1800"/>
        </w:tabs>
        <w:kinsoku/>
        <w:wordWrap/>
        <w:overflowPunct/>
        <w:topLinePunct w:val="0"/>
        <w:autoSpaceDE/>
        <w:autoSpaceDN/>
        <w:bidi w:val="0"/>
        <w:adjustRightInd/>
        <w:snapToGrid/>
        <w:spacing w:line="500" w:lineRule="exact"/>
        <w:ind w:firstLine="523" w:firstLineChars="187"/>
        <w:jc w:val="left"/>
        <w:textAlignment w:val="auto"/>
        <w:rPr>
          <w:rFonts w:ascii="仿宋_GB2312" w:eastAsia="仿宋_GB2312"/>
          <w:color w:val="000000"/>
          <w:sz w:val="28"/>
          <w:szCs w:val="28"/>
        </w:rPr>
      </w:pPr>
      <w:r>
        <w:rPr>
          <w:rFonts w:hint="eastAsia" w:ascii="仿宋_GB2312" w:hAnsi="宋体" w:eastAsia="仿宋_GB2312"/>
          <w:sz w:val="28"/>
          <w:szCs w:val="28"/>
        </w:rPr>
        <w:t>3、培训班具体地点，在开班一周前随《报到通知</w:t>
      </w:r>
      <w:r>
        <w:rPr>
          <w:rFonts w:hint="eastAsia" w:ascii="仿宋_GB2312" w:eastAsia="仿宋_GB2312"/>
          <w:color w:val="000000"/>
          <w:sz w:val="28"/>
          <w:szCs w:val="28"/>
        </w:rPr>
        <w:t>》告知。</w:t>
      </w:r>
    </w:p>
    <w:p>
      <w:pPr>
        <w:keepNext w:val="0"/>
        <w:keepLines w:val="0"/>
        <w:pageBreakBefore w:val="0"/>
        <w:kinsoku/>
        <w:wordWrap/>
        <w:overflowPunct/>
        <w:topLinePunct w:val="0"/>
        <w:autoSpaceDE/>
        <w:autoSpaceDN/>
        <w:bidi w:val="0"/>
        <w:adjustRightInd/>
        <w:snapToGrid/>
        <w:spacing w:before="156" w:beforeLines="50" w:after="312" w:afterLines="100" w:line="500" w:lineRule="exact"/>
        <w:ind w:firstLine="650" w:firstLineChars="249"/>
        <w:textAlignment w:val="auto"/>
        <w:rPr>
          <w:rFonts w:ascii="黑体" w:hAnsi="黑体" w:eastAsia="黑体"/>
          <w:b/>
          <w:spacing w:val="-10"/>
          <w:sz w:val="28"/>
          <w:szCs w:val="28"/>
        </w:rPr>
      </w:pPr>
      <w:r>
        <w:rPr>
          <w:rFonts w:hint="eastAsia" w:ascii="黑体" w:hAnsi="黑体" w:eastAsia="黑体"/>
          <w:b/>
          <w:spacing w:val="-10"/>
          <w:sz w:val="28"/>
          <w:szCs w:val="28"/>
        </w:rPr>
        <w:t>二、培训内容</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sz w:val="28"/>
          <w:szCs w:val="28"/>
        </w:rPr>
      </w:pPr>
      <w:r>
        <w:rPr>
          <w:rFonts w:hint="eastAsia" w:ascii="仿宋_GB2312" w:eastAsia="仿宋_GB2312" w:cs="仿宋_GB2312"/>
          <w:b/>
          <w:bCs/>
          <w:sz w:val="28"/>
          <w:szCs w:val="28"/>
        </w:rPr>
        <w:t>（一）</w:t>
      </w:r>
      <w:r>
        <w:rPr>
          <w:rFonts w:hint="eastAsia" w:ascii="仿宋_GB2312" w:eastAsia="仿宋_GB2312" w:cs="仿宋_GB2312"/>
          <w:b/>
          <w:sz w:val="28"/>
          <w:szCs w:val="28"/>
        </w:rPr>
        <w:t>《党政主要领导干部和国有企事业单位主要领导人员经济责任审计规定》最新解读</w:t>
      </w:r>
    </w:p>
    <w:p>
      <w:pPr>
        <w:pStyle w:val="4"/>
        <w:keepNext w:val="0"/>
        <w:keepLines w:val="0"/>
        <w:pageBreakBefore w:val="0"/>
        <w:numPr>
          <w:ilvl w:val="0"/>
          <w:numId w:val="0"/>
        </w:numPr>
        <w:tabs>
          <w:tab w:val="left" w:pos="1620"/>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联席会议及审计委员会制度</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审计内容的改变</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责任认定的改革</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b/>
          <w:sz w:val="28"/>
          <w:szCs w:val="28"/>
        </w:rPr>
      </w:pPr>
      <w:r>
        <w:rPr>
          <w:rFonts w:hint="eastAsia" w:ascii="仿宋_GB2312" w:eastAsia="仿宋_GB2312" w:cs="仿宋_GB2312"/>
          <w:b/>
          <w:bCs/>
          <w:sz w:val="28"/>
          <w:szCs w:val="28"/>
        </w:rPr>
        <w:t>（二）</w:t>
      </w:r>
      <w:r>
        <w:rPr>
          <w:rFonts w:hint="eastAsia" w:ascii="仿宋_GB2312" w:eastAsia="仿宋_GB2312" w:cs="仿宋_GB2312"/>
          <w:b/>
          <w:sz w:val="28"/>
          <w:szCs w:val="28"/>
        </w:rPr>
        <w:t xml:space="preserve"> 经济责任审计评价</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责任区分</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直接责任</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领导责任</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主管责任</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前任和后任</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 xml:space="preserve">定性评价   </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对财务收支真实性、合法性的评价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对经营绩效进行评价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对内部控制建立健全情况的评价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对三重一大的评价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对政策执行，可持续发展的评价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对被审计对象遵守廉洁从业规定情况的评价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rPr>
        <w:t>综合评价</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定性加定量评价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评价标准简介</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管理要素定性评价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财务定量评价</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评分的考虑</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定量评价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与金额有关问题评价</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其他评价</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与金额无关问题评价</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b/>
          <w:sz w:val="28"/>
          <w:szCs w:val="28"/>
        </w:rPr>
      </w:pPr>
      <w:r>
        <w:rPr>
          <w:rFonts w:hint="eastAsia" w:ascii="仿宋_GB2312" w:eastAsia="仿宋_GB2312" w:cs="仿宋_GB2312"/>
          <w:b/>
          <w:bCs/>
          <w:sz w:val="28"/>
          <w:szCs w:val="28"/>
        </w:rPr>
        <w:t>（三）</w:t>
      </w:r>
      <w:r>
        <w:rPr>
          <w:rFonts w:hint="eastAsia" w:ascii="仿宋_GB2312" w:eastAsia="仿宋_GB2312" w:cs="仿宋_GB2312"/>
          <w:b/>
          <w:sz w:val="28"/>
          <w:szCs w:val="28"/>
        </w:rPr>
        <w:t>经济责任审计具体审计内容</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 xml:space="preserve">任期内财务收支与成本核算的合规性 </w:t>
      </w:r>
    </w:p>
    <w:p>
      <w:pPr>
        <w:keepNext w:val="0"/>
        <w:keepLines w:val="0"/>
        <w:pageBreakBefore w:val="0"/>
        <w:numPr>
          <w:ilvl w:val="0"/>
          <w:numId w:val="1"/>
        </w:numPr>
        <w:kinsoku/>
        <w:wordWrap/>
        <w:overflowPunct/>
        <w:topLinePunct w:val="0"/>
        <w:autoSpaceDE/>
        <w:autoSpaceDN/>
        <w:bidi w:val="0"/>
        <w:adjustRightInd/>
        <w:snapToGrid/>
        <w:spacing w:line="500" w:lineRule="exact"/>
        <w:ind w:left="851" w:leftChars="0"/>
        <w:textAlignment w:val="auto"/>
        <w:rPr>
          <w:rFonts w:hint="eastAsia" w:ascii="仿宋_GB2312" w:eastAsia="仿宋_GB2312"/>
          <w:sz w:val="28"/>
          <w:szCs w:val="28"/>
          <w:lang w:val="en-US" w:eastAsia="zh-CN"/>
        </w:rPr>
      </w:pPr>
      <w:r>
        <w:rPr>
          <w:rFonts w:hint="eastAsia" w:ascii="仿宋_GB2312" w:eastAsia="仿宋_GB2312"/>
          <w:sz w:val="28"/>
          <w:szCs w:val="28"/>
        </w:rPr>
        <w:t>审计要点</w:t>
      </w:r>
      <w:r>
        <w:rPr>
          <w:rFonts w:hint="eastAsia" w:ascii="仿宋_GB2312" w:eastAsia="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840" w:firstLineChars="30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主要经营（管理）指标的完成情况</w:t>
      </w:r>
    </w:p>
    <w:p>
      <w:pPr>
        <w:keepNext w:val="0"/>
        <w:keepLines w:val="0"/>
        <w:pageBreakBefore w:val="0"/>
        <w:numPr>
          <w:ilvl w:val="0"/>
          <w:numId w:val="2"/>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rPr>
        <w:t>审计要点</w:t>
      </w:r>
      <w:r>
        <w:rPr>
          <w:rFonts w:hint="eastAsia" w:ascii="仿宋_GB2312" w:eastAsia="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840" w:firstLineChars="30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所负责关键业务领域内部控制情况</w:t>
      </w:r>
    </w:p>
    <w:p>
      <w:pPr>
        <w:keepNext w:val="0"/>
        <w:keepLines w:val="0"/>
        <w:pageBreakBefore w:val="0"/>
        <w:numPr>
          <w:ilvl w:val="0"/>
          <w:numId w:val="3"/>
        </w:numPr>
        <w:kinsoku/>
        <w:wordWrap/>
        <w:overflowPunct/>
        <w:topLinePunct w:val="0"/>
        <w:autoSpaceDE/>
        <w:autoSpaceDN/>
        <w:bidi w:val="0"/>
        <w:adjustRightInd/>
        <w:snapToGrid/>
        <w:spacing w:line="500" w:lineRule="exact"/>
        <w:ind w:left="851" w:leftChars="0"/>
        <w:textAlignment w:val="auto"/>
        <w:rPr>
          <w:rFonts w:hint="eastAsia" w:ascii="仿宋_GB2312" w:eastAsia="仿宋_GB2312"/>
          <w:sz w:val="28"/>
          <w:szCs w:val="28"/>
          <w:lang w:val="en-US" w:eastAsia="zh-CN"/>
        </w:rPr>
      </w:pPr>
      <w:r>
        <w:rPr>
          <w:rFonts w:hint="eastAsia" w:ascii="仿宋_GB2312" w:eastAsia="仿宋_GB2312"/>
          <w:sz w:val="28"/>
          <w:szCs w:val="28"/>
        </w:rPr>
        <w:t>审计要点</w:t>
      </w:r>
      <w:r>
        <w:rPr>
          <w:rFonts w:hint="eastAsia" w:ascii="仿宋_GB2312" w:eastAsia="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840" w:firstLineChars="30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【实用工具】内控评估量化工具</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三重一大决策实施情况</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审计要点</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【案例分析】某公司重大项目审计</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政策执行和促进可持续发展工作</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审计要点</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【案例分析】某领导促进可持续发展举措分析</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遗留问题和有</w:t>
      </w:r>
      <w:r>
        <w:rPr>
          <w:rFonts w:hint="eastAsia" w:ascii="仿宋_GB2312" w:eastAsia="仿宋_GB2312" w:cs="仿宋_GB2312"/>
          <w:sz w:val="28"/>
          <w:szCs w:val="28"/>
          <w:lang w:val="en-US" w:eastAsia="zh-CN"/>
        </w:rPr>
        <w:t>关</w:t>
      </w:r>
      <w:r>
        <w:rPr>
          <w:rFonts w:hint="eastAsia" w:ascii="仿宋_GB2312" w:eastAsia="仿宋_GB2312" w:cs="仿宋_GB2312"/>
          <w:sz w:val="28"/>
          <w:szCs w:val="28"/>
        </w:rPr>
        <w:t>经济事项</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审计要点</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常见问题</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离任和离职的考虑</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b/>
          <w:sz w:val="28"/>
          <w:szCs w:val="28"/>
        </w:rPr>
      </w:pPr>
      <w:r>
        <w:rPr>
          <w:rFonts w:hint="eastAsia" w:ascii="仿宋_GB2312" w:eastAsia="仿宋_GB2312" w:cs="仿宋_GB2312"/>
          <w:b/>
          <w:sz w:val="28"/>
          <w:szCs w:val="28"/>
        </w:rPr>
        <w:t>（四）职业舞弊类型及形式</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舞弊的类型</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舞弊纵向形式</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资产侵占</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舞弊性报表</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腐败</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外部欺诈</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舞弊横向层次</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管理层舞弊</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第三方舞弊</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员工舞弊</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b/>
          <w:sz w:val="28"/>
          <w:szCs w:val="28"/>
        </w:rPr>
      </w:pPr>
      <w:r>
        <w:rPr>
          <w:rFonts w:hint="eastAsia" w:ascii="仿宋_GB2312" w:eastAsia="仿宋_GB2312" w:cs="仿宋_GB2312"/>
          <w:b/>
          <w:sz w:val="28"/>
          <w:szCs w:val="28"/>
        </w:rPr>
        <w:t>（五） 如何发现舞弊</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如何有意识发现舞弊</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调查原则及调查风险防范</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被动调查流程</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线索来源分析</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线索评估</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证据及证据链</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证据的类型及特性</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再生证据</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电子证据特殊要求</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证据链的模型</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舞弊调查手段</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主动调查</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调查性询问</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询问四个阶段</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职务犯罪心理及可用心理战术</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询问具体方法</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提问技巧</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证据使用方法</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九步询问法</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8、</w:t>
      </w:r>
      <w:r>
        <w:rPr>
          <w:rFonts w:hint="eastAsia" w:ascii="仿宋_GB2312" w:eastAsia="仿宋_GB2312" w:cs="仿宋_GB2312"/>
          <w:sz w:val="28"/>
          <w:szCs w:val="28"/>
        </w:rPr>
        <w:t>调查总结和结案</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9、</w:t>
      </w:r>
      <w:r>
        <w:rPr>
          <w:rFonts w:hint="eastAsia" w:ascii="仿宋_GB2312" w:eastAsia="仿宋_GB2312" w:cs="仿宋_GB2312"/>
          <w:sz w:val="28"/>
          <w:szCs w:val="28"/>
        </w:rPr>
        <w:t>常见舞弊案例分析及查处技巧</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利益冲突</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报表舞弊</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贿赂</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舞弊性支付</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资产侵占</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外部欺诈</w:t>
      </w:r>
    </w:p>
    <w:p>
      <w:pPr>
        <w:keepNext w:val="0"/>
        <w:keepLines w:val="0"/>
        <w:pageBreakBefore w:val="0"/>
        <w:tabs>
          <w:tab w:val="left" w:pos="1620"/>
          <w:tab w:val="left" w:pos="1800"/>
        </w:tabs>
        <w:kinsoku/>
        <w:wordWrap/>
        <w:overflowPunct/>
        <w:topLinePunct w:val="0"/>
        <w:autoSpaceDE/>
        <w:autoSpaceDN/>
        <w:bidi w:val="0"/>
        <w:adjustRightInd/>
        <w:snapToGrid/>
        <w:spacing w:before="93" w:beforeLines="30" w:after="93" w:afterLines="30" w:line="500" w:lineRule="exact"/>
        <w:ind w:firstLine="562"/>
        <w:jc w:val="left"/>
        <w:textAlignment w:val="auto"/>
        <w:rPr>
          <w:rFonts w:ascii="仿宋_GB2312" w:eastAsia="仿宋_GB2312" w:cs="仿宋_GB2312"/>
          <w:b/>
          <w:bCs/>
          <w:sz w:val="28"/>
          <w:szCs w:val="28"/>
        </w:rPr>
      </w:pPr>
      <w:r>
        <w:rPr>
          <w:rFonts w:hint="eastAsia" w:ascii="仿宋_GB2312" w:eastAsia="仿宋_GB2312" w:cs="仿宋_GB2312"/>
          <w:b/>
          <w:sz w:val="28"/>
          <w:szCs w:val="28"/>
        </w:rPr>
        <w:t>（六）</w:t>
      </w:r>
      <w:r>
        <w:rPr>
          <w:rFonts w:hint="eastAsia" w:ascii="仿宋_GB2312" w:eastAsia="仿宋_GB2312" w:cs="仿宋_GB2312"/>
          <w:b/>
          <w:bCs/>
          <w:sz w:val="28"/>
          <w:szCs w:val="28"/>
        </w:rPr>
        <w:t>如何防止舞弊</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舞弊处理模型</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倡导诚信正直的企业文化</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责任前移、明确对策、降低风险、消除机会</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建设好内控</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监督职员</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防范串谋</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举报热线</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告知相关方公司制度</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突击审计</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反舞弊11359模型</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一个框架</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五个环节</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一个理论</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九个要点</w:t>
      </w:r>
    </w:p>
    <w:p>
      <w:pPr>
        <w:keepNext w:val="0"/>
        <w:keepLines w:val="0"/>
        <w:pageBreakBefore w:val="0"/>
        <w:numPr>
          <w:ilvl w:val="0"/>
          <w:numId w:val="0"/>
        </w:numPr>
        <w:kinsoku/>
        <w:wordWrap/>
        <w:overflowPunct/>
        <w:topLinePunct w:val="0"/>
        <w:autoSpaceDE/>
        <w:autoSpaceDN/>
        <w:bidi w:val="0"/>
        <w:adjustRightInd/>
        <w:snapToGrid/>
        <w:spacing w:line="500" w:lineRule="exact"/>
        <w:ind w:left="851" w:leftChars="0"/>
        <w:textAlignment w:val="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三个手段</w:t>
      </w:r>
    </w:p>
    <w:p>
      <w:pPr>
        <w:pStyle w:val="4"/>
        <w:keepNext w:val="0"/>
        <w:keepLines w:val="0"/>
        <w:pageBreakBefore w:val="0"/>
        <w:numPr>
          <w:ilvl w:val="0"/>
          <w:numId w:val="0"/>
        </w:numPr>
        <w:tabs>
          <w:tab w:val="left" w:pos="1800"/>
        </w:tabs>
        <w:kinsoku/>
        <w:wordWrap/>
        <w:overflowPunct/>
        <w:topLinePunct w:val="0"/>
        <w:autoSpaceDE/>
        <w:autoSpaceDN/>
        <w:bidi w:val="0"/>
        <w:adjustRightInd/>
        <w:snapToGrid/>
        <w:spacing w:line="500" w:lineRule="exact"/>
        <w:ind w:left="560" w:leftChars="0"/>
        <w:jc w:val="left"/>
        <w:textAlignment w:val="auto"/>
        <w:rPr>
          <w:rFonts w:ascii="仿宋_GB2312" w:eastAsia="仿宋_GB2312" w:cs="仿宋_GB2312"/>
          <w:sz w:val="28"/>
          <w:szCs w:val="28"/>
        </w:rPr>
      </w:pP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不同类型舞弊针对性防范措施</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firstLine="562" w:firstLineChars="200"/>
        <w:textAlignment w:val="auto"/>
        <w:rPr>
          <w:rFonts w:ascii="黑体" w:eastAsia="黑体"/>
          <w:b/>
          <w:sz w:val="28"/>
          <w:szCs w:val="28"/>
        </w:rPr>
      </w:pPr>
      <w:r>
        <w:rPr>
          <w:rFonts w:hint="eastAsia" w:ascii="黑体" w:eastAsia="黑体"/>
          <w:b/>
          <w:sz w:val="28"/>
          <w:szCs w:val="28"/>
        </w:rPr>
        <w:t>三、培训对象</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firstLine="528" w:firstLineChars="200"/>
        <w:textAlignment w:val="auto"/>
        <w:rPr>
          <w:rFonts w:ascii="仿宋_GB2312" w:eastAsia="仿宋_GB2312"/>
          <w:spacing w:val="-8"/>
          <w:sz w:val="28"/>
          <w:szCs w:val="28"/>
        </w:rPr>
      </w:pPr>
      <w:r>
        <w:rPr>
          <w:rFonts w:hint="eastAsia" w:ascii="仿宋_GB2312" w:eastAsia="仿宋_GB2312"/>
          <w:spacing w:val="-8"/>
          <w:sz w:val="28"/>
          <w:szCs w:val="28"/>
        </w:rPr>
        <w:t>各级省（市）委审计委员会、审计厅（局）有关工作人员；各行政事业单位审计（处）科、财务（处）科、纪检监察部门负责人及有关人员；</w:t>
      </w:r>
      <w:r>
        <w:rPr>
          <w:rFonts w:hint="eastAsia" w:ascii="仿宋_GB2312" w:eastAsia="仿宋_GB2312"/>
          <w:spacing w:val="-8"/>
          <w:sz w:val="28"/>
          <w:szCs w:val="28"/>
          <w:lang w:val="en-US" w:eastAsia="zh-CN"/>
        </w:rPr>
        <w:t>检察院、法院、</w:t>
      </w:r>
      <w:r>
        <w:rPr>
          <w:rFonts w:hint="eastAsia" w:ascii="仿宋_GB2312" w:eastAsia="仿宋_GB2312"/>
          <w:spacing w:val="-8"/>
          <w:sz w:val="28"/>
          <w:szCs w:val="28"/>
        </w:rPr>
        <w:t>上市公司、国有企业的内部审计部门、内部控制部门、纪检监察部门负责人等高、中层管理人员及其后备人员。</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left="425" w:firstLine="141" w:firstLineChars="50"/>
        <w:textAlignment w:val="auto"/>
        <w:rPr>
          <w:rFonts w:ascii="黑体" w:eastAsia="黑体"/>
          <w:b/>
          <w:sz w:val="28"/>
          <w:szCs w:val="28"/>
        </w:rPr>
      </w:pPr>
      <w:r>
        <w:rPr>
          <w:rFonts w:hint="eastAsia" w:ascii="黑体" w:eastAsia="黑体"/>
          <w:b/>
          <w:sz w:val="28"/>
          <w:szCs w:val="28"/>
        </w:rPr>
        <w:t>四、师资力量</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审计署、财政部等部委相关司局，中国政法大学、南京审计大学、北京、上海、厦门国家会计学院等高等院校的权威专家、领导、教授和业内资深专家等。</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left="425" w:firstLine="141" w:firstLineChars="50"/>
        <w:textAlignment w:val="auto"/>
        <w:rPr>
          <w:rFonts w:ascii="黑体" w:eastAsia="黑体"/>
          <w:b/>
          <w:sz w:val="28"/>
          <w:szCs w:val="28"/>
        </w:rPr>
      </w:pPr>
      <w:r>
        <w:rPr>
          <w:rFonts w:hint="eastAsia" w:ascii="黑体" w:eastAsia="黑体"/>
          <w:b/>
          <w:sz w:val="28"/>
          <w:szCs w:val="28"/>
        </w:rPr>
        <w:t>五、培训费用</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专题培训班费用为每人每期3,</w:t>
      </w:r>
      <w:r>
        <w:rPr>
          <w:rFonts w:hint="eastAsia" w:ascii="仿宋_GB2312" w:eastAsia="仿宋_GB2312"/>
          <w:sz w:val="28"/>
          <w:szCs w:val="28"/>
          <w:lang w:val="en-US" w:eastAsia="zh-CN"/>
        </w:rPr>
        <w:t>2</w:t>
      </w:r>
      <w:r>
        <w:rPr>
          <w:rFonts w:hint="eastAsia" w:ascii="仿宋_GB2312" w:eastAsia="仿宋_GB2312"/>
          <w:sz w:val="28"/>
          <w:szCs w:val="28"/>
        </w:rPr>
        <w:t>00元；食宿统一安排，费用另计；往返交通及费用由参训单位自行办理和支付。</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left="425" w:firstLine="141" w:firstLineChars="50"/>
        <w:textAlignment w:val="auto"/>
        <w:rPr>
          <w:rFonts w:ascii="黑体" w:eastAsia="黑体"/>
          <w:b/>
          <w:sz w:val="26"/>
          <w:szCs w:val="28"/>
        </w:rPr>
      </w:pPr>
      <w:r>
        <w:rPr>
          <w:rFonts w:hint="eastAsia" w:ascii="黑体" w:eastAsia="黑体"/>
          <w:b/>
          <w:sz w:val="28"/>
          <w:szCs w:val="28"/>
        </w:rPr>
        <w:t>六、参会办法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各单位可汇总本系统的参训人员填写报名表，传真至会务组（010-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r>
        <w:rPr>
          <w:rFonts w:hint="eastAsia" w:ascii="仿宋_GB2312" w:eastAsia="仿宋_GB2312"/>
          <w:sz w:val="28"/>
          <w:szCs w:val="28"/>
        </w:rPr>
        <w:t>）或发送电子邮件（会务组</w:t>
      </w:r>
      <w:r>
        <w:rPr>
          <w:rFonts w:hint="eastAsia" w:ascii="仿宋_GB2312" w:hAnsi="宋体" w:eastAsia="仿宋_GB2312"/>
          <w:sz w:val="28"/>
          <w:szCs w:val="28"/>
        </w:rPr>
        <w:t>E-mail：cacfo</w:t>
      </w:r>
      <w:r>
        <w:rPr>
          <w:rFonts w:ascii="仿宋_GB2312" w:hAnsi="宋体" w:eastAsia="仿宋_GB2312"/>
          <w:sz w:val="28"/>
          <w:szCs w:val="28"/>
        </w:rPr>
        <w:t>@13</w:t>
      </w:r>
      <w:r>
        <w:rPr>
          <w:rFonts w:hint="eastAsia" w:ascii="仿宋_GB2312" w:hAnsi="宋体" w:eastAsia="仿宋_GB2312"/>
          <w:sz w:val="28"/>
          <w:szCs w:val="28"/>
        </w:rPr>
        <w:t>9</w:t>
      </w:r>
      <w:r>
        <w:rPr>
          <w:rFonts w:ascii="仿宋_GB2312" w:hAnsi="宋体" w:eastAsia="仿宋_GB2312"/>
          <w:sz w:val="28"/>
          <w:szCs w:val="28"/>
        </w:rPr>
        <w:t>.com</w:t>
      </w:r>
      <w:r>
        <w:rPr>
          <w:rFonts w:hint="eastAsia" w:ascii="仿宋_GB2312" w:hAnsi="宋体" w:eastAsia="仿宋_GB2312"/>
          <w:sz w:val="28"/>
          <w:szCs w:val="28"/>
        </w:rPr>
        <w:t>；培训部E-mail：peixun@cacfo.com</w:t>
      </w:r>
      <w:r>
        <w:rPr>
          <w:rFonts w:hint="eastAsia" w:ascii="仿宋_GB2312" w:eastAsia="仿宋_GB2312"/>
          <w:sz w:val="28"/>
          <w:szCs w:val="28"/>
        </w:rPr>
        <w:t>）。参训人员可提前将培训费用汇入指定银行账号；并于每期培训班开班前十天，将银行汇款凭证传真至会务组，以便确认安排具体事宜</w:t>
      </w:r>
      <w:r>
        <w:rPr>
          <w:rFonts w:hint="eastAsia" w:ascii="仿宋_GB2312" w:eastAsia="仿宋_GB2312"/>
          <w:spacing w:val="-2"/>
          <w:sz w:val="28"/>
          <w:szCs w:val="28"/>
        </w:rPr>
        <w:t>。</w:t>
      </w:r>
      <w:r>
        <w:rPr>
          <w:rFonts w:hint="eastAsia" w:ascii="仿宋_GB2312" w:eastAsia="仿宋_GB2312"/>
          <w:sz w:val="28"/>
          <w:szCs w:val="28"/>
        </w:rPr>
        <w:t>会务组将于每期培训班开班前七天通知参训人员报到的详细地点、乘车路线及有关事项。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eastAsia="仿宋_GB2312" w:asciiTheme="minorHAnsi" w:hAnsiTheme="minorHAnsi"/>
          <w:sz w:val="28"/>
          <w:szCs w:val="28"/>
        </w:rPr>
      </w:pPr>
      <w:r>
        <w:rPr>
          <w:rFonts w:hint="eastAsia" w:ascii="仿宋_GB2312" w:hAnsi="宋体" w:eastAsia="仿宋_GB2312"/>
          <w:bCs/>
          <w:sz w:val="28"/>
          <w:szCs w:val="28"/>
        </w:rPr>
        <w:t>本《通知》文件信息发布见中国总会计师协会网站</w:t>
      </w:r>
      <w:r>
        <w:fldChar w:fldCharType="begin"/>
      </w:r>
      <w:r>
        <w:instrText xml:space="preserve"> HYPERLINK "http://www.cacfo.com" </w:instrText>
      </w:r>
      <w:r>
        <w:fldChar w:fldCharType="separate"/>
      </w:r>
      <w:r>
        <w:rPr>
          <w:rFonts w:hint="eastAsia" w:ascii="仿宋_GB2312" w:eastAsia="仿宋_GB2312"/>
          <w:color w:val="000000"/>
          <w:sz w:val="28"/>
          <w:szCs w:val="28"/>
        </w:rPr>
        <w:t>www.cacfo.com</w:t>
      </w:r>
      <w:r>
        <w:rPr>
          <w:rFonts w:hint="eastAsia" w:ascii="仿宋_GB2312" w:eastAsia="仿宋_GB2312"/>
          <w:color w:val="000000"/>
          <w:sz w:val="28"/>
          <w:szCs w:val="28"/>
        </w:rPr>
        <w:fldChar w:fldCharType="end"/>
      </w:r>
      <w:r>
        <w:rPr>
          <w:rFonts w:hint="eastAsia" w:ascii="仿宋_GB2312" w:eastAsia="仿宋_GB2312"/>
          <w:sz w:val="28"/>
          <w:szCs w:val="28"/>
        </w:rPr>
        <w:t>和国培财经网站</w:t>
      </w:r>
      <w:r>
        <w:fldChar w:fldCharType="begin"/>
      </w:r>
      <w:r>
        <w:instrText xml:space="preserve"> HYPERLINK "http://www.guopeicaijing.com" </w:instrText>
      </w:r>
      <w:r>
        <w:fldChar w:fldCharType="separate"/>
      </w:r>
      <w:r>
        <w:rPr>
          <w:rFonts w:hint="eastAsia" w:ascii="仿宋_GB2312" w:eastAsia="仿宋_GB2312"/>
          <w:color w:val="000000"/>
          <w:sz w:val="28"/>
          <w:szCs w:val="28"/>
        </w:rPr>
        <w:t>www.guopeicaijing.com</w:t>
      </w:r>
      <w:r>
        <w:rPr>
          <w:rFonts w:hint="eastAsia" w:ascii="仿宋_GB2312" w:eastAsia="仿宋_GB2312"/>
          <w:color w:val="000000"/>
          <w:sz w:val="28"/>
          <w:szCs w:val="28"/>
        </w:rPr>
        <w:fldChar w:fldCharType="end"/>
      </w:r>
      <w:r>
        <w:rPr>
          <w:rFonts w:hint="eastAsia" w:eastAsia="仿宋_GB2312" w:asciiTheme="minorHAnsi" w:hAnsiTheme="minorHAnsi"/>
          <w:color w:val="000000"/>
          <w:sz w:val="28"/>
          <w:szCs w:val="28"/>
        </w:rPr>
        <w:t>、</w:t>
      </w:r>
      <w:r>
        <w:rPr>
          <w:rFonts w:hint="eastAsia" w:ascii="仿宋_GB2312" w:eastAsia="仿宋_GB2312"/>
          <w:sz w:val="28"/>
          <w:szCs w:val="28"/>
        </w:rPr>
        <w:t>国培财经公众号。</w:t>
      </w:r>
    </w:p>
    <w:p>
      <w:pPr>
        <w:keepNext w:val="0"/>
        <w:keepLines w:val="0"/>
        <w:pageBreakBefore w:val="0"/>
        <w:kinsoku/>
        <w:wordWrap/>
        <w:overflowPunct/>
        <w:topLinePunct w:val="0"/>
        <w:autoSpaceDE/>
        <w:autoSpaceDN/>
        <w:bidi w:val="0"/>
        <w:adjustRightInd/>
        <w:snapToGrid/>
        <w:spacing w:before="93" w:beforeLines="30" w:after="93" w:afterLines="30" w:line="500" w:lineRule="exact"/>
        <w:ind w:firstLine="548" w:firstLineChars="196"/>
        <w:textAlignment w:val="auto"/>
        <w:rPr>
          <w:rFonts w:ascii="仿宋_GB2312" w:eastAsia="仿宋_GB2312"/>
          <w:sz w:val="28"/>
          <w:szCs w:val="28"/>
        </w:rPr>
      </w:pPr>
      <w:r>
        <w:rPr>
          <w:rFonts w:hint="eastAsia" w:ascii="仿宋_GB2312" w:eastAsia="仿宋_GB2312"/>
          <w:sz w:val="28"/>
          <w:szCs w:val="28"/>
        </w:rPr>
        <w:t>汇款方式:</w:t>
      </w:r>
    </w:p>
    <w:p>
      <w:pPr>
        <w:keepNext w:val="0"/>
        <w:keepLines w:val="0"/>
        <w:pageBreakBefore w:val="0"/>
        <w:kinsoku/>
        <w:wordWrap/>
        <w:overflowPunct/>
        <w:topLinePunct w:val="0"/>
        <w:autoSpaceDE/>
        <w:autoSpaceDN/>
        <w:bidi w:val="0"/>
        <w:adjustRightInd/>
        <w:snapToGrid/>
        <w:spacing w:line="500" w:lineRule="exact"/>
        <w:ind w:firstLine="548" w:firstLineChars="196"/>
        <w:textAlignment w:val="auto"/>
        <w:rPr>
          <w:rFonts w:ascii="仿宋_GB2312" w:hAnsi="宋体" w:eastAsia="仿宋_GB2312"/>
          <w:bCs/>
          <w:sz w:val="28"/>
          <w:szCs w:val="28"/>
        </w:rPr>
      </w:pPr>
      <w:r>
        <w:rPr>
          <w:rFonts w:hint="eastAsia" w:ascii="仿宋_GB2312" w:hAnsi="宋体" w:eastAsia="仿宋_GB2312"/>
          <w:bCs/>
          <w:sz w:val="28"/>
          <w:szCs w:val="28"/>
        </w:rPr>
        <w:t>户  名：北京国培创新教育科技股份有限公司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开户行：中国工商银行海淀支行营业部</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bCs/>
          <w:spacing w:val="6"/>
          <w:sz w:val="28"/>
          <w:szCs w:val="28"/>
        </w:rPr>
      </w:pPr>
      <w:r>
        <w:rPr>
          <w:rFonts w:hint="eastAsia" w:ascii="仿宋_GB2312" w:hAnsi="宋体" w:eastAsia="仿宋_GB2312"/>
          <w:bCs/>
          <w:sz w:val="28"/>
          <w:szCs w:val="28"/>
        </w:rPr>
        <w:t>帐  号：</w:t>
      </w:r>
      <w:r>
        <w:rPr>
          <w:rFonts w:ascii="仿宋_GB2312" w:hAnsi="宋体" w:eastAsia="仿宋_GB2312"/>
          <w:bCs/>
          <w:spacing w:val="6"/>
          <w:sz w:val="28"/>
          <w:szCs w:val="28"/>
        </w:rPr>
        <w:t>0200151609100016356</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left="425" w:firstLine="141" w:firstLineChars="50"/>
        <w:textAlignment w:val="auto"/>
        <w:rPr>
          <w:rFonts w:ascii="黑体" w:eastAsia="黑体"/>
          <w:b/>
          <w:sz w:val="28"/>
          <w:szCs w:val="28"/>
        </w:rPr>
      </w:pPr>
      <w:r>
        <w:rPr>
          <w:rFonts w:hint="eastAsia" w:ascii="黑体" w:eastAsia="黑体"/>
          <w:b/>
          <w:sz w:val="28"/>
          <w:szCs w:val="28"/>
        </w:rPr>
        <w:t>七、培训证书</w:t>
      </w:r>
    </w:p>
    <w:p>
      <w:pPr>
        <w:keepNext w:val="0"/>
        <w:keepLines w:val="0"/>
        <w:pageBreakBefore w:val="0"/>
        <w:kinsoku/>
        <w:wordWrap/>
        <w:overflowPunct/>
        <w:topLinePunct w:val="0"/>
        <w:autoSpaceDE/>
        <w:autoSpaceDN/>
        <w:bidi w:val="0"/>
        <w:adjustRightInd/>
        <w:snapToGrid/>
        <w:spacing w:line="500" w:lineRule="exact"/>
        <w:ind w:firstLine="556"/>
        <w:textAlignment w:val="auto"/>
        <w:rPr>
          <w:rFonts w:ascii="仿宋_GB2312" w:eastAsia="仿宋_GB2312"/>
          <w:sz w:val="28"/>
          <w:szCs w:val="28"/>
        </w:rPr>
      </w:pPr>
      <w:r>
        <w:rPr>
          <w:rFonts w:hint="eastAsia" w:ascii="仿宋_GB2312" w:eastAsia="仿宋_GB2312"/>
          <w:sz w:val="28"/>
          <w:szCs w:val="28"/>
        </w:rPr>
        <w:t>培训班学习期满，颁发中国总会计师协会《培训结业证书》。</w:t>
      </w:r>
    </w:p>
    <w:p>
      <w:pPr>
        <w:keepNext w:val="0"/>
        <w:keepLines w:val="0"/>
        <w:pageBreakBefore w:val="0"/>
        <w:kinsoku/>
        <w:wordWrap/>
        <w:overflowPunct/>
        <w:topLinePunct w:val="0"/>
        <w:autoSpaceDE/>
        <w:autoSpaceDN/>
        <w:bidi w:val="0"/>
        <w:adjustRightInd/>
        <w:snapToGrid/>
        <w:spacing w:before="156" w:beforeLines="50" w:after="93" w:afterLines="30" w:line="500" w:lineRule="exact"/>
        <w:ind w:firstLine="556"/>
        <w:textAlignment w:val="auto"/>
        <w:rPr>
          <w:rFonts w:ascii="黑体" w:eastAsia="黑体"/>
          <w:b/>
          <w:sz w:val="28"/>
          <w:szCs w:val="28"/>
        </w:rPr>
      </w:pPr>
      <w:r>
        <w:rPr>
          <w:rFonts w:hint="eastAsia" w:ascii="黑体" w:eastAsia="黑体"/>
          <w:b/>
          <w:sz w:val="28"/>
          <w:szCs w:val="28"/>
        </w:rPr>
        <w:t>八、联系方式</w:t>
      </w:r>
    </w:p>
    <w:p>
      <w:pPr>
        <w:keepNext w:val="0"/>
        <w:keepLines w:val="0"/>
        <w:pageBreakBefore w:val="0"/>
        <w:kinsoku/>
        <w:wordWrap/>
        <w:overflowPunct/>
        <w:topLinePunct w:val="0"/>
        <w:autoSpaceDE/>
        <w:autoSpaceDN/>
        <w:bidi w:val="0"/>
        <w:adjustRightInd/>
        <w:snapToGrid/>
        <w:spacing w:after="93" w:afterLines="30" w:line="500" w:lineRule="exact"/>
        <w:ind w:firstLine="560" w:firstLineChars="200"/>
        <w:textAlignment w:val="auto"/>
        <w:rPr>
          <w:rFonts w:ascii="黑体" w:eastAsia="黑体"/>
          <w:b/>
          <w:spacing w:val="-10"/>
          <w:sz w:val="28"/>
          <w:szCs w:val="28"/>
        </w:rPr>
      </w:pPr>
      <w:r>
        <w:rPr>
          <w:rFonts w:hint="eastAsia" w:ascii="仿宋_GB2312" w:eastAsia="仿宋_GB2312"/>
          <w:sz w:val="28"/>
          <w:szCs w:val="28"/>
        </w:rPr>
        <w:t>咨询电话：</w:t>
      </w:r>
      <w:r>
        <w:rPr>
          <w:rFonts w:hint="eastAsia" w:ascii="仿宋_GB2312" w:eastAsia="仿宋_GB2312"/>
          <w:color w:val="000000"/>
          <w:sz w:val="28"/>
          <w:szCs w:val="28"/>
        </w:rPr>
        <w:t>010-</w:t>
      </w:r>
      <w:r>
        <w:rPr>
          <w:rFonts w:ascii="仿宋_GB2312" w:eastAsia="仿宋_GB2312"/>
          <w:sz w:val="28"/>
          <w:szCs w:val="28"/>
        </w:rPr>
        <w:t>53771881</w:t>
      </w:r>
      <w:r>
        <w:rPr>
          <w:rFonts w:hint="eastAsia" w:ascii="仿宋_GB2312" w:eastAsia="仿宋_GB2312"/>
          <w:color w:val="000000"/>
          <w:sz w:val="28"/>
          <w:szCs w:val="28"/>
        </w:rPr>
        <w:t>、</w:t>
      </w:r>
      <w:r>
        <w:rPr>
          <w:rFonts w:ascii="仿宋_GB2312" w:eastAsia="仿宋_GB2312"/>
          <w:sz w:val="28"/>
          <w:szCs w:val="28"/>
        </w:rPr>
        <w:t>5377188</w:t>
      </w:r>
      <w:r>
        <w:rPr>
          <w:rFonts w:hint="eastAsia" w:ascii="仿宋_GB2312" w:eastAsia="仿宋_GB2312"/>
          <w:sz w:val="28"/>
          <w:szCs w:val="28"/>
        </w:rPr>
        <w:t>2， 88191832（中总协培训部）</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ascii="仿宋_GB2312" w:eastAsia="仿宋_GB2312"/>
          <w:sz w:val="28"/>
          <w:szCs w:val="28"/>
        </w:rPr>
      </w:pPr>
      <w:r>
        <w:rPr>
          <w:rFonts w:hint="eastAsia" w:ascii="仿宋_GB2312" w:eastAsia="仿宋_GB2312"/>
          <w:sz w:val="28"/>
          <w:szCs w:val="28"/>
        </w:rPr>
        <w:t>报名传真：010-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hint="eastAsia" w:ascii="仿宋_GB2312" w:eastAsia="仿宋_GB2312"/>
          <w:sz w:val="28"/>
          <w:szCs w:val="28"/>
        </w:rPr>
      </w:pPr>
      <w:r>
        <w:rPr>
          <w:rFonts w:hint="eastAsia" w:ascii="仿宋_GB2312" w:eastAsia="仿宋_GB2312"/>
          <w:sz w:val="28"/>
          <w:szCs w:val="28"/>
        </w:rPr>
        <w:t>联 系 人：攸兴臣，韦正龙，桑立强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6C00D9"/>
    <w:multiLevelType w:val="singleLevel"/>
    <w:tmpl w:val="D06C00D9"/>
    <w:lvl w:ilvl="0" w:tentative="0">
      <w:start w:val="1"/>
      <w:numFmt w:val="decimal"/>
      <w:suff w:val="nothing"/>
      <w:lvlText w:val="（%1）"/>
      <w:lvlJc w:val="left"/>
    </w:lvl>
  </w:abstractNum>
  <w:abstractNum w:abstractNumId="1">
    <w:nsid w:val="2140F98C"/>
    <w:multiLevelType w:val="singleLevel"/>
    <w:tmpl w:val="2140F98C"/>
    <w:lvl w:ilvl="0" w:tentative="0">
      <w:start w:val="1"/>
      <w:numFmt w:val="decimal"/>
      <w:suff w:val="nothing"/>
      <w:lvlText w:val="（%1）"/>
      <w:lvlJc w:val="left"/>
    </w:lvl>
  </w:abstractNum>
  <w:abstractNum w:abstractNumId="2">
    <w:nsid w:val="7A6B25F9"/>
    <w:multiLevelType w:val="singleLevel"/>
    <w:tmpl w:val="7A6B25F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C6B6C"/>
    <w:rsid w:val="6BFC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2019-08-28T00:37:00Z</dcterms:created>
  <dc:creator>桑立强</dc:creator>
  <cp:lastModifiedBy>桑立强</cp:lastModifiedBy>
  <dcterms:modified xsi:type="dcterms:W3CDTF">2019-08-28T00:39:28Z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