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135" w:rsidRDefault="000B7135" w:rsidP="000B7135">
      <w:pPr>
        <w:tabs>
          <w:tab w:val="left" w:pos="4820"/>
        </w:tabs>
        <w:spacing w:line="48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附件:2：</w:t>
      </w:r>
    </w:p>
    <w:p w:rsidR="000B7135" w:rsidRDefault="000B7135" w:rsidP="000B7135">
      <w:pPr>
        <w:spacing w:line="48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2018年下半年《财务管理技能提升与管理会计实践系列专题培训班》课程大纲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</w:t>
      </w:r>
      <w:proofErr w:type="gramStart"/>
      <w:r>
        <w:rPr>
          <w:rFonts w:ascii="仿宋_GB2312" w:eastAsia="仿宋_GB2312" w:hAnsi="宋体" w:hint="eastAsia"/>
          <w:b/>
          <w:bCs/>
          <w:sz w:val="28"/>
          <w:szCs w:val="28"/>
        </w:rPr>
        <w:t>一</w:t>
      </w:r>
      <w:proofErr w:type="gramEnd"/>
      <w:r>
        <w:rPr>
          <w:rFonts w:ascii="仿宋_GB2312" w:eastAsia="仿宋_GB2312" w:hAnsi="宋体" w:hint="eastAsia"/>
          <w:b/>
          <w:bCs/>
          <w:sz w:val="28"/>
          <w:szCs w:val="28"/>
        </w:rPr>
        <w:t>：转型时代</w:t>
      </w:r>
      <w:proofErr w:type="gramStart"/>
      <w:r>
        <w:rPr>
          <w:rFonts w:ascii="仿宋_GB2312" w:eastAsia="仿宋_GB2312" w:hAnsi="宋体" w:hint="eastAsia"/>
          <w:b/>
          <w:bCs/>
          <w:sz w:val="28"/>
          <w:szCs w:val="28"/>
        </w:rPr>
        <w:t>的业财融合</w:t>
      </w:r>
      <w:proofErr w:type="gramEnd"/>
      <w:r>
        <w:rPr>
          <w:rFonts w:ascii="仿宋_GB2312" w:eastAsia="仿宋_GB2312" w:hAnsi="宋体" w:hint="eastAsia"/>
          <w:b/>
          <w:bCs/>
          <w:sz w:val="28"/>
          <w:szCs w:val="28"/>
        </w:rPr>
        <w:t>与价值创造--管理会计落地专题培训班</w:t>
      </w:r>
    </w:p>
    <w:p w:rsidR="000B7135" w:rsidRDefault="000B7135" w:rsidP="000B7135">
      <w:pPr>
        <w:numPr>
          <w:ilvl w:val="0"/>
          <w:numId w:val="1"/>
        </w:numPr>
        <w:spacing w:line="400" w:lineRule="exact"/>
        <w:ind w:firstLineChars="147" w:firstLine="413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财务管理转型与业务财务职能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财务管理转型趋势解析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财务会计转型与管理会计技能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财务战略与发展战略的统一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战略财务管理与业务财务职能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财务管理转型需要建立业务财务职能</w:t>
      </w:r>
    </w:p>
    <w:p w:rsidR="000B7135" w:rsidRDefault="000B7135" w:rsidP="000B7135">
      <w:pPr>
        <w:numPr>
          <w:ilvl w:val="0"/>
          <w:numId w:val="1"/>
        </w:numPr>
        <w:spacing w:line="400" w:lineRule="exact"/>
        <w:ind w:firstLineChars="147" w:firstLine="413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业务财务价值实现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业务财务的定位与发展趋势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业务财务的职能与四维价值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业务财务的组织建立与绩效评价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业务财务实施技能与案例解析</w:t>
      </w:r>
    </w:p>
    <w:p w:rsidR="000B7135" w:rsidRDefault="000B7135" w:rsidP="000B7135">
      <w:pPr>
        <w:numPr>
          <w:ilvl w:val="0"/>
          <w:numId w:val="1"/>
        </w:numPr>
        <w:spacing w:line="400" w:lineRule="exact"/>
        <w:ind w:firstLineChars="147" w:firstLine="413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管理会计应用指引体系设计与流程梳理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专题二：企业战略背景</w:t>
      </w:r>
      <w:proofErr w:type="gramStart"/>
      <w:r>
        <w:rPr>
          <w:rFonts w:ascii="仿宋_GB2312" w:eastAsia="仿宋_GB2312" w:hAnsi="宋体" w:hint="eastAsia"/>
          <w:b/>
          <w:bCs/>
          <w:sz w:val="28"/>
          <w:szCs w:val="28"/>
        </w:rPr>
        <w:t>下预算</w:t>
      </w:r>
      <w:proofErr w:type="gramEnd"/>
      <w:r>
        <w:rPr>
          <w:rFonts w:ascii="仿宋_GB2312" w:eastAsia="仿宋_GB2312" w:hAnsi="宋体" w:hint="eastAsia"/>
          <w:b/>
          <w:bCs/>
          <w:sz w:val="28"/>
          <w:szCs w:val="28"/>
        </w:rPr>
        <w:t>编制与实施技巧专题培训班</w:t>
      </w:r>
    </w:p>
    <w:p w:rsidR="000B7135" w:rsidRDefault="000B7135" w:rsidP="000B7135">
      <w:pPr>
        <w:numPr>
          <w:ilvl w:val="0"/>
          <w:numId w:val="3"/>
        </w:numPr>
        <w:spacing w:line="480" w:lineRule="exact"/>
        <w:ind w:firstLineChars="147" w:firstLine="413"/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全面预算与企业战略</w:t>
      </w:r>
    </w:p>
    <w:p w:rsidR="000B7135" w:rsidRDefault="000B7135" w:rsidP="000B7135">
      <w:pPr>
        <w:spacing w:line="480" w:lineRule="exact"/>
        <w:ind w:firstLineChars="147" w:firstLine="413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（二）</w:t>
      </w:r>
      <w:r>
        <w:rPr>
          <w:rFonts w:ascii="仿宋_GB2312" w:eastAsia="仿宋_GB2312" w:hAnsi="宋体" w:hint="eastAsia"/>
          <w:b/>
          <w:sz w:val="28"/>
          <w:szCs w:val="28"/>
        </w:rPr>
        <w:t>全面预算体系的构建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预算编制的框架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预算编制方法的实用性与反作用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预算管理的误解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三级递进预算目标的确定原则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关键预算的编制方法及案例分析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预算偏差度的设定技巧与协调</w:t>
      </w:r>
    </w:p>
    <w:p w:rsidR="000B7135" w:rsidRDefault="000B7135" w:rsidP="000B7135">
      <w:pPr>
        <w:spacing w:line="480" w:lineRule="exact"/>
        <w:ind w:firstLineChars="147" w:firstLine="413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（三）</w:t>
      </w:r>
      <w:r>
        <w:rPr>
          <w:rFonts w:ascii="仿宋_GB2312" w:eastAsia="仿宋_GB2312" w:hAnsi="宋体" w:hint="eastAsia"/>
          <w:b/>
          <w:sz w:val="28"/>
          <w:szCs w:val="28"/>
        </w:rPr>
        <w:t>全面预算的有效执行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仪表板使用与预算执行情况跟踪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差异分析与预算分析体系的建立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预算与执行脱节的原因分析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考核管理和激励机制的重要性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预算执行中的常见行为剖析与案例分析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专题三：成本管控技能提升与流程再造专题培训班</w:t>
      </w:r>
    </w:p>
    <w:p w:rsidR="000B7135" w:rsidRDefault="000B7135" w:rsidP="000B7135">
      <w:pPr>
        <w:tabs>
          <w:tab w:val="left" w:pos="1620"/>
          <w:tab w:val="left" w:pos="1800"/>
        </w:tabs>
        <w:spacing w:line="480" w:lineRule="exact"/>
        <w:ind w:firstLineChars="147" w:firstLine="413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（一）</w:t>
      </w:r>
      <w:proofErr w:type="gramStart"/>
      <w:r>
        <w:rPr>
          <w:rFonts w:ascii="仿宋_GB2312" w:eastAsia="仿宋_GB2312" w:hAnsi="宋体" w:hint="eastAsia"/>
          <w:b/>
          <w:bCs/>
          <w:sz w:val="28"/>
          <w:szCs w:val="28"/>
        </w:rPr>
        <w:t>新成本</w:t>
      </w:r>
      <w:proofErr w:type="gramEnd"/>
      <w:r>
        <w:rPr>
          <w:rFonts w:ascii="仿宋_GB2312" w:eastAsia="仿宋_GB2312" w:hAnsi="宋体" w:hint="eastAsia"/>
          <w:b/>
          <w:bCs/>
          <w:sz w:val="28"/>
          <w:szCs w:val="28"/>
        </w:rPr>
        <w:t>制度解析与成本管理体系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企业产品成本核算制度</w:t>
      </w:r>
      <w:r>
        <w:rPr>
          <w:rFonts w:ascii="仿宋_GB2312" w:eastAsia="仿宋_GB2312" w:hAnsi="宋体" w:hint="eastAsia"/>
          <w:sz w:val="28"/>
          <w:szCs w:val="28"/>
        </w:rPr>
        <w:t>解析与趋势分析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多维视觉下的精细化产品成本核算体系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成本管理流程再造</w:t>
      </w:r>
    </w:p>
    <w:p w:rsidR="000B7135" w:rsidRDefault="000B7135" w:rsidP="000B7135">
      <w:pPr>
        <w:tabs>
          <w:tab w:val="left" w:pos="1620"/>
          <w:tab w:val="left" w:pos="1800"/>
        </w:tabs>
        <w:spacing w:line="480" w:lineRule="exact"/>
        <w:ind w:firstLineChars="147" w:firstLine="413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（二）流程再造与成本目标设定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差异化定位系统图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差异化定位特征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利润测算与目标成本确定</w:t>
      </w:r>
    </w:p>
    <w:p w:rsidR="000B7135" w:rsidRDefault="000B7135" w:rsidP="000B7135">
      <w:pPr>
        <w:tabs>
          <w:tab w:val="left" w:pos="1620"/>
          <w:tab w:val="left" w:pos="1800"/>
        </w:tabs>
        <w:spacing w:line="480" w:lineRule="exact"/>
        <w:ind w:firstLineChars="147" w:firstLine="413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（三）作业成本法的应用与案例解析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作业成本法的优势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作业成本法的四个步骤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作业成本实施与案例分析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专题四：资本运营与企业投融资策略实施专题培训班</w:t>
      </w:r>
    </w:p>
    <w:p w:rsidR="000B7135" w:rsidRDefault="000B7135" w:rsidP="000B7135">
      <w:pPr>
        <w:tabs>
          <w:tab w:val="left" w:pos="1620"/>
          <w:tab w:val="left" w:pos="1800"/>
        </w:tabs>
        <w:spacing w:line="400" w:lineRule="exact"/>
        <w:ind w:firstLineChars="147" w:firstLine="413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（一）资本运营与金融形势</w:t>
      </w:r>
    </w:p>
    <w:p w:rsidR="000B7135" w:rsidRDefault="000B7135" w:rsidP="000B7135">
      <w:pPr>
        <w:tabs>
          <w:tab w:val="left" w:pos="1620"/>
          <w:tab w:val="left" w:pos="1800"/>
        </w:tabs>
        <w:spacing w:line="480" w:lineRule="exact"/>
        <w:ind w:firstLineChars="147" w:firstLine="413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（二）融资策略设计与实施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现行经济形势下企业投融资风险分析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融资前的需求分析与评估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融资渠道与方法的选择技巧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融资常见问题与对策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私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募股权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融资的应用过程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股权融资的技术问题</w:t>
      </w:r>
    </w:p>
    <w:p w:rsidR="000B7135" w:rsidRDefault="000B7135" w:rsidP="000B7135">
      <w:pPr>
        <w:tabs>
          <w:tab w:val="left" w:pos="1620"/>
          <w:tab w:val="left" w:pos="1800"/>
        </w:tabs>
        <w:spacing w:line="480" w:lineRule="exact"/>
        <w:ind w:firstLineChars="147" w:firstLine="413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（三）投资项目实施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投资项目优劣的标准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投资分析的主要工具及方法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财务数据分析与风险识别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建立正确有效的评估体系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企业上市前的财务、税务筹划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专题五：企业内部控制重难点解析与风险管理专题培训班</w:t>
      </w:r>
    </w:p>
    <w:p w:rsidR="000B7135" w:rsidRDefault="000B7135" w:rsidP="000B7135">
      <w:pPr>
        <w:tabs>
          <w:tab w:val="left" w:pos="1620"/>
          <w:tab w:val="left" w:pos="1800"/>
        </w:tabs>
        <w:spacing w:line="480" w:lineRule="exact"/>
        <w:ind w:firstLineChars="147" w:firstLine="413"/>
        <w:jc w:val="left"/>
        <w:rPr>
          <w:rFonts w:ascii="仿宋_GB2312" w:eastAsia="仿宋_GB2312" w:cs="仿宋_GB2312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（一）企业内部控制规范与配套指引解析</w:t>
      </w:r>
    </w:p>
    <w:p w:rsidR="000B7135" w:rsidRDefault="000B7135" w:rsidP="000B7135">
      <w:pPr>
        <w:tabs>
          <w:tab w:val="left" w:pos="1620"/>
          <w:tab w:val="left" w:pos="1800"/>
        </w:tabs>
        <w:spacing w:line="480" w:lineRule="exact"/>
        <w:ind w:firstLineChars="147" w:firstLine="413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（二）企业风险管理框架与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企业的控制环境分析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内部控制体系实施中突出问题的解决及趋势分析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企业内部控制核心目标及框架搭建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企业内部控制原则与规则的应用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内部控制环境存在的主要问题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内部控制的外部环境及财政金融环境详解</w:t>
      </w:r>
    </w:p>
    <w:p w:rsidR="000B7135" w:rsidRDefault="000B7135" w:rsidP="000B7135">
      <w:pPr>
        <w:tabs>
          <w:tab w:val="left" w:pos="1620"/>
          <w:tab w:val="left" w:pos="1800"/>
        </w:tabs>
        <w:spacing w:line="480" w:lineRule="exact"/>
        <w:ind w:firstLineChars="147" w:firstLine="413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（三）企业内控风险评估分析与内控报告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人、财、物的消耗与管理费用的评估分析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现金流、利润率等指标的评估分析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企业内部控制报告的撰写技巧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企业的控制案例分析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专题六：企业内部审计技巧与舞弊透视专题培训班</w:t>
      </w:r>
    </w:p>
    <w:p w:rsidR="000B7135" w:rsidRDefault="000B7135" w:rsidP="000B7135">
      <w:pPr>
        <w:spacing w:line="440" w:lineRule="exact"/>
        <w:ind w:leftChars="200" w:left="42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（一）企业内部审计技巧与案例解析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审计规定最新变动与应用解析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精准定位企业内部审计职能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内部审计在现代企业中的角色与职能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内部审计的核心原则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内部审计流程的重点精讲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业务循环中的内部审计与案例解析</w:t>
      </w:r>
    </w:p>
    <w:p w:rsidR="000B7135" w:rsidRDefault="000B7135" w:rsidP="000B7135">
      <w:pPr>
        <w:numPr>
          <w:ilvl w:val="0"/>
          <w:numId w:val="3"/>
        </w:numPr>
        <w:spacing w:line="440" w:lineRule="exact"/>
        <w:ind w:firstLineChars="147" w:firstLine="413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舞弊透视与企业内部审计风险防范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舞弊类型的多样性与职业舞弊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舞弊树分析的应用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防范舞弊与舞弊查处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舞弊案例分析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专题七：企业会计准则及准则解释变动背景下收入准则实施专题培训班</w:t>
      </w:r>
    </w:p>
    <w:p w:rsidR="000B7135" w:rsidRDefault="000B7135" w:rsidP="000B7135">
      <w:pPr>
        <w:numPr>
          <w:ilvl w:val="0"/>
          <w:numId w:val="4"/>
        </w:numPr>
        <w:spacing w:line="480" w:lineRule="exact"/>
        <w:ind w:leftChars="200" w:left="420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收入准则实施详解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/>
          <w:sz w:val="28"/>
          <w:szCs w:val="28"/>
        </w:rPr>
      </w:pPr>
      <w:hyperlink r:id="rId5" w:history="1">
        <w:r>
          <w:rPr>
            <w:rFonts w:ascii="仿宋_GB2312" w:eastAsia="仿宋_GB2312" w:hAnsi="宋体" w:hint="eastAsia"/>
            <w:sz w:val="28"/>
            <w:szCs w:val="28"/>
          </w:rPr>
          <w:t>关于修订印发《企业会计准则第14号——收入》的通知</w:t>
        </w:r>
      </w:hyperlink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收入的确认和计量变动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合同成本和特定交易的会计处理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收入列报的变动与衔接调整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收入准则调整对税会差异的影响</w:t>
      </w:r>
    </w:p>
    <w:p w:rsidR="000B7135" w:rsidRDefault="000B7135" w:rsidP="000B7135">
      <w:pPr>
        <w:spacing w:line="440" w:lineRule="exact"/>
        <w:ind w:leftChars="200" w:left="420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（二）企业会计准则与准则解释变动解析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/>
          <w:sz w:val="28"/>
          <w:szCs w:val="28"/>
        </w:rPr>
      </w:pPr>
      <w:hyperlink r:id="rId6" w:history="1">
        <w:r>
          <w:rPr>
            <w:rFonts w:ascii="仿宋_GB2312" w:eastAsia="仿宋_GB2312" w:hint="eastAsia"/>
            <w:sz w:val="28"/>
            <w:szCs w:val="28"/>
          </w:rPr>
          <w:t>关于印发修订《企业会计准则第16号——政府补助》的通知</w:t>
        </w:r>
      </w:hyperlink>
      <w:r>
        <w:rPr>
          <w:rFonts w:ascii="仿宋_GB2312" w:eastAsia="仿宋_GB2312" w:hint="eastAsia"/>
          <w:sz w:val="28"/>
          <w:szCs w:val="28"/>
        </w:rPr>
        <w:t>及有关问题解读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关于印发《企业会计准则第42号——持有待售的非流动资产、处置组和终止经营》的通知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《企业会计准则第21号——租赁（修订）（征求意见稿）》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新企业会计准则变动影响解析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hyperlink r:id="rId7" w:history="1">
        <w:r>
          <w:rPr>
            <w:rFonts w:ascii="仿宋_GB2312" w:eastAsia="仿宋_GB2312" w:hAnsi="宋体" w:hint="eastAsia"/>
            <w:sz w:val="28"/>
            <w:szCs w:val="28"/>
          </w:rPr>
          <w:t>企业财务报表格式调</w:t>
        </w:r>
      </w:hyperlink>
      <w:proofErr w:type="gramStart"/>
      <w:r>
        <w:rPr>
          <w:rFonts w:ascii="仿宋_GB2312" w:eastAsia="仿宋_GB2312" w:hAnsi="宋体" w:hint="eastAsia"/>
          <w:sz w:val="28"/>
          <w:szCs w:val="28"/>
        </w:rPr>
        <w:t>整与填列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 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企业会计准则解释9-12号解析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财政电子票据管理改革的试点方案</w:t>
      </w:r>
    </w:p>
    <w:p w:rsidR="000B7135" w:rsidRDefault="000B7135" w:rsidP="000B7135">
      <w:pPr>
        <w:spacing w:line="440" w:lineRule="exact"/>
        <w:ind w:leftChars="200" w:left="420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（三）企业会计准则变动与财务报告编制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专题八：财务报告分析能力提升与最新格式变动解析专题培训班</w:t>
      </w:r>
    </w:p>
    <w:p w:rsidR="000B7135" w:rsidRDefault="000B7135" w:rsidP="000B7135">
      <w:pPr>
        <w:numPr>
          <w:ilvl w:val="0"/>
          <w:numId w:val="5"/>
        </w:numPr>
        <w:spacing w:line="480" w:lineRule="exact"/>
        <w:ind w:leftChars="200" w:left="420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企业财务报表的格式变动与影响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报表增加项目的业务反映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相关业务影响分析</w:t>
      </w:r>
    </w:p>
    <w:p w:rsidR="000B7135" w:rsidRDefault="000B7135" w:rsidP="000B7135">
      <w:pPr>
        <w:spacing w:line="480" w:lineRule="exact"/>
        <w:ind w:leftChars="200" w:left="420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（二）财务报表信息质量识别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财务报表粉饰的类型及手法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舞弊风险因素有效性分析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如何通过财务报表透视企业经营管理存在的问题</w:t>
      </w:r>
    </w:p>
    <w:p w:rsidR="000B7135" w:rsidRDefault="000B7135" w:rsidP="000B7135">
      <w:pPr>
        <w:spacing w:line="460" w:lineRule="exact"/>
        <w:ind w:firstLineChars="147" w:firstLine="413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（三）财务报表透析企业盈利能力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通过关键财务指标分析企业获利能力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盈利能力与财务比率综合运用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行业经济特征与财务报告之间的关系</w:t>
      </w:r>
    </w:p>
    <w:p w:rsidR="000B7135" w:rsidRDefault="000B7135" w:rsidP="000B7135">
      <w:pPr>
        <w:numPr>
          <w:ilvl w:val="0"/>
          <w:numId w:val="2"/>
        </w:numPr>
        <w:spacing w:line="48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财务绩效指标的应用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专题九：金税三期背景下的企业纳税筹划与零风险纳税技能提升专题培训班</w:t>
      </w:r>
    </w:p>
    <w:p w:rsidR="000B7135" w:rsidRDefault="000B7135" w:rsidP="000B7135">
      <w:pPr>
        <w:numPr>
          <w:ilvl w:val="0"/>
          <w:numId w:val="6"/>
        </w:numPr>
        <w:tabs>
          <w:tab w:val="left" w:pos="1620"/>
          <w:tab w:val="left" w:pos="1800"/>
        </w:tabs>
        <w:spacing w:line="460" w:lineRule="exact"/>
        <w:ind w:firstLineChars="147" w:firstLine="413"/>
        <w:jc w:val="left"/>
        <w:rPr>
          <w:rFonts w:ascii="仿宋_GB2312" w:eastAsia="仿宋_GB2312" w:hAnsi="仿宋_GB2312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金税三期主要纳税评估与预警指标异常分析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金税三期主要功能介绍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新税率变动的影响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预警指标异常变动分析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金税三期的预警体系解析</w:t>
      </w:r>
    </w:p>
    <w:p w:rsidR="000B7135" w:rsidRDefault="000B7135" w:rsidP="000B7135">
      <w:pPr>
        <w:numPr>
          <w:ilvl w:val="0"/>
          <w:numId w:val="6"/>
        </w:numPr>
        <w:tabs>
          <w:tab w:val="left" w:pos="1620"/>
          <w:tab w:val="left" w:pos="1800"/>
        </w:tabs>
        <w:spacing w:line="460" w:lineRule="exact"/>
        <w:ind w:firstLineChars="147" w:firstLine="413"/>
        <w:jc w:val="left"/>
        <w:rPr>
          <w:rFonts w:ascii="仿宋_GB2312" w:eastAsia="仿宋_GB2312" w:hAnsi="仿宋_GB2312" w:cs="宋体"/>
          <w:color w:val="000000"/>
          <w:kern w:val="0"/>
          <w:sz w:val="28"/>
          <w:szCs w:val="32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企业全面税收筹划的最新政策梳理与实践问题解析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“营改增”的经济影响分析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消费税及进出口税收新政策解析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房地产调控中的相关税收政策解析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抵扣不足难题化解思路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关注价税体系变化实现利益最大化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纳税申报与会计处理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税务机关监管方式调整的影响与税务稽查应对</w:t>
      </w:r>
    </w:p>
    <w:p w:rsidR="000B7135" w:rsidRDefault="000B7135" w:rsidP="000B7135">
      <w:pPr>
        <w:tabs>
          <w:tab w:val="left" w:pos="1620"/>
          <w:tab w:val="left" w:pos="1800"/>
        </w:tabs>
        <w:spacing w:line="460" w:lineRule="exact"/>
        <w:ind w:firstLineChars="147" w:firstLine="413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（三）企业所得税汇算清缴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企业所得税汇算清缴最新政策梳理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汇算清缴中的账务处理实务与纳税调整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减免税优惠与扣除凭证的实效问题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专题十：宏观经济形势分析与商业模式创新专题培训班</w:t>
      </w:r>
    </w:p>
    <w:p w:rsidR="000B7135" w:rsidRDefault="000B7135" w:rsidP="000B7135">
      <w:pPr>
        <w:numPr>
          <w:ilvl w:val="0"/>
          <w:numId w:val="7"/>
        </w:numPr>
        <w:tabs>
          <w:tab w:val="left" w:pos="1620"/>
          <w:tab w:val="left" w:pos="1800"/>
        </w:tabs>
        <w:spacing w:line="460" w:lineRule="exact"/>
        <w:ind w:firstLineChars="147" w:firstLine="413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宏观经济形势分析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中国经济形势与特征分析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世界经济与反经济全球化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市场经济与供给侧改革</w:t>
      </w:r>
    </w:p>
    <w:p w:rsidR="000B7135" w:rsidRDefault="000B7135" w:rsidP="000B7135">
      <w:pPr>
        <w:spacing w:line="460" w:lineRule="exact"/>
        <w:ind w:leftChars="200" w:left="42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通过商业模式打造企业盈利系统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互联网对商业模式的颠覆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移动互联时代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商业模式创新与跨行业竞争模式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通过商业模式全面改善现金流</w:t>
      </w:r>
    </w:p>
    <w:p w:rsidR="000B7135" w:rsidRDefault="000B7135" w:rsidP="000B7135">
      <w:pPr>
        <w:tabs>
          <w:tab w:val="left" w:pos="1620"/>
          <w:tab w:val="left" w:pos="1800"/>
        </w:tabs>
        <w:spacing w:line="440" w:lineRule="exact"/>
        <w:ind w:firstLineChars="147" w:firstLine="413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（三）</w:t>
      </w:r>
      <w:r>
        <w:rPr>
          <w:rFonts w:ascii="仿宋_GB2312" w:eastAsia="仿宋_GB2312" w:hint="eastAsia"/>
          <w:b/>
          <w:sz w:val="28"/>
          <w:szCs w:val="28"/>
        </w:rPr>
        <w:t>企业“互联网+” 转型升级的案例剖析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专题十一：财务管理信息化智能化与财务共享中心建设实践专题培训班</w:t>
      </w:r>
    </w:p>
    <w:p w:rsidR="000B7135" w:rsidRDefault="000B7135" w:rsidP="000B7135">
      <w:pPr>
        <w:spacing w:line="460" w:lineRule="exact"/>
        <w:ind w:leftChars="200" w:left="42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（一）财务管理信息化智能化趋势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共享中心的发展现状与趋势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共享服务中心本质的理论和实践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智能化趋势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明确共享服务中心的时效目标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共享中心与外包发展趋势的分析与比较</w:t>
      </w:r>
    </w:p>
    <w:p w:rsidR="000B7135" w:rsidRDefault="000B7135" w:rsidP="000B7135">
      <w:pPr>
        <w:spacing w:line="460" w:lineRule="exact"/>
        <w:ind w:leftChars="200" w:left="420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（二）财务共享服务中心建立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共享中心的体系设计与布局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共享中心项目的操作实务</w:t>
      </w:r>
    </w:p>
    <w:p w:rsidR="000B7135" w:rsidRDefault="000B7135" w:rsidP="000B7135">
      <w:pPr>
        <w:spacing w:line="460" w:lineRule="exact"/>
        <w:ind w:leftChars="200" w:left="420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（三）财务共享中心价值最大化</w:t>
      </w:r>
    </w:p>
    <w:p w:rsidR="000B7135" w:rsidRDefault="000B7135" w:rsidP="000B7135">
      <w:pPr>
        <w:spacing w:line="460" w:lineRule="exact"/>
        <w:ind w:leftChars="200" w:left="420"/>
        <w:jc w:val="lef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（四）共享中心团队建设与组织实施</w:t>
      </w:r>
    </w:p>
    <w:p w:rsidR="000B7135" w:rsidRDefault="000B7135" w:rsidP="000B7135">
      <w:pPr>
        <w:spacing w:beforeLines="30" w:before="93" w:afterLines="30" w:after="93" w:line="480" w:lineRule="exact"/>
        <w:ind w:firstLineChars="147" w:firstLine="413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专题十二：高绩效财务团队建设与压力</w:t>
      </w:r>
      <w:proofErr w:type="gramStart"/>
      <w:r>
        <w:rPr>
          <w:rFonts w:ascii="仿宋_GB2312" w:eastAsia="仿宋_GB2312" w:hAnsi="宋体" w:hint="eastAsia"/>
          <w:b/>
          <w:bCs/>
          <w:sz w:val="28"/>
          <w:szCs w:val="28"/>
        </w:rPr>
        <w:t>管理及跨部门</w:t>
      </w:r>
      <w:proofErr w:type="gramEnd"/>
      <w:r>
        <w:rPr>
          <w:rFonts w:ascii="仿宋_GB2312" w:eastAsia="仿宋_GB2312" w:hAnsi="宋体" w:hint="eastAsia"/>
          <w:b/>
          <w:bCs/>
          <w:sz w:val="28"/>
          <w:szCs w:val="28"/>
        </w:rPr>
        <w:t>沟通技巧专题培训班</w:t>
      </w:r>
    </w:p>
    <w:p w:rsidR="000B7135" w:rsidRDefault="000B7135" w:rsidP="000B7135">
      <w:pPr>
        <w:spacing w:line="35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（一）</w:t>
      </w:r>
      <w:r>
        <w:rPr>
          <w:rFonts w:ascii="仿宋_GB2312" w:eastAsia="仿宋_GB2312" w:hint="eastAsia"/>
          <w:b/>
          <w:sz w:val="28"/>
          <w:szCs w:val="28"/>
        </w:rPr>
        <w:t>财务管理者的角色定位与使命职能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组织、角色、职责定位与实施技巧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公司战略政策把握的重要性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业务理解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与业财融合</w:t>
      </w:r>
      <w:proofErr w:type="gramEnd"/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市场分析与信息处理</w:t>
      </w:r>
    </w:p>
    <w:p w:rsidR="000B7135" w:rsidRDefault="000B7135" w:rsidP="000B7135">
      <w:pPr>
        <w:tabs>
          <w:tab w:val="left" w:pos="1620"/>
          <w:tab w:val="left" w:pos="1800"/>
        </w:tabs>
        <w:spacing w:line="360" w:lineRule="exact"/>
        <w:ind w:firstLineChars="200" w:firstLine="562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财务管理者的领导力提升技巧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领导权威的来源及素质特征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领导力的型态与领导方式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管理者的素养与人际关系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管理者自我认知与主要管理职能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成功执行的关键和执行秘诀</w:t>
      </w:r>
    </w:p>
    <w:p w:rsidR="000B7135" w:rsidRDefault="000B7135" w:rsidP="000B7135">
      <w:pPr>
        <w:tabs>
          <w:tab w:val="left" w:pos="1620"/>
          <w:tab w:val="left" w:pos="1800"/>
        </w:tabs>
        <w:spacing w:line="37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（三）</w:t>
      </w:r>
      <w:r>
        <w:rPr>
          <w:rFonts w:ascii="仿宋_GB2312" w:eastAsia="仿宋_GB2312"/>
          <w:b/>
          <w:sz w:val="28"/>
          <w:szCs w:val="28"/>
        </w:rPr>
        <w:t>舒解压力的技巧</w:t>
      </w:r>
      <w:r>
        <w:rPr>
          <w:rFonts w:ascii="仿宋_GB2312" w:eastAsia="仿宋_GB2312" w:hint="eastAsia"/>
          <w:b/>
          <w:sz w:val="28"/>
          <w:szCs w:val="28"/>
        </w:rPr>
        <w:t>与跨部门沟通训练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压力辨析与压力源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应对压力的基本技巧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弹性管理与心态平衡</w:t>
      </w:r>
    </w:p>
    <w:p w:rsidR="000B7135" w:rsidRDefault="000B7135" w:rsidP="000B7135">
      <w:pPr>
        <w:numPr>
          <w:ilvl w:val="0"/>
          <w:numId w:val="2"/>
        </w:numPr>
        <w:spacing w:line="460" w:lineRule="exact"/>
        <w:ind w:leftChars="200" w:firstLine="397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跨部门沟通重要性与技巧</w:t>
      </w:r>
    </w:p>
    <w:p w:rsidR="00ED1531" w:rsidRPr="000B7135" w:rsidRDefault="00ED1531">
      <w:bookmarkStart w:id="0" w:name="_GoBack"/>
      <w:bookmarkEnd w:id="0"/>
    </w:p>
    <w:sectPr w:rsidR="00ED1531" w:rsidRPr="000B7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7A9"/>
    <w:multiLevelType w:val="multilevel"/>
    <w:tmpl w:val="07CF37A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486FB5"/>
    <w:multiLevelType w:val="singleLevel"/>
    <w:tmpl w:val="5A486FB5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5A4877AA"/>
    <w:multiLevelType w:val="singleLevel"/>
    <w:tmpl w:val="5A4877AA"/>
    <w:lvl w:ilvl="0">
      <w:start w:val="1"/>
      <w:numFmt w:val="chineseCounting"/>
      <w:suff w:val="nothing"/>
      <w:lvlText w:val="（%1）"/>
      <w:lvlJc w:val="left"/>
    </w:lvl>
  </w:abstractNum>
  <w:abstractNum w:abstractNumId="3" w15:restartNumberingAfterBreak="0">
    <w:nsid w:val="5A4A6308"/>
    <w:multiLevelType w:val="singleLevel"/>
    <w:tmpl w:val="5A4A6308"/>
    <w:lvl w:ilvl="0">
      <w:start w:val="1"/>
      <w:numFmt w:val="chineseCounting"/>
      <w:suff w:val="nothing"/>
      <w:lvlText w:val="（%1）"/>
      <w:lvlJc w:val="left"/>
    </w:lvl>
  </w:abstractNum>
  <w:abstractNum w:abstractNumId="4" w15:restartNumberingAfterBreak="0">
    <w:nsid w:val="5A4AE223"/>
    <w:multiLevelType w:val="singleLevel"/>
    <w:tmpl w:val="5A4AE223"/>
    <w:lvl w:ilvl="0">
      <w:start w:val="1"/>
      <w:numFmt w:val="chineseCounting"/>
      <w:suff w:val="nothing"/>
      <w:lvlText w:val="（%1）"/>
      <w:lvlJc w:val="left"/>
    </w:lvl>
  </w:abstractNum>
  <w:abstractNum w:abstractNumId="5" w15:restartNumberingAfterBreak="0">
    <w:nsid w:val="5A4AEFC1"/>
    <w:multiLevelType w:val="singleLevel"/>
    <w:tmpl w:val="5A4AEFC1"/>
    <w:lvl w:ilvl="0">
      <w:start w:val="1"/>
      <w:numFmt w:val="chineseCounting"/>
      <w:suff w:val="nothing"/>
      <w:lvlText w:val="（%1）"/>
      <w:lvlJc w:val="left"/>
    </w:lvl>
  </w:abstractNum>
  <w:abstractNum w:abstractNumId="6" w15:restartNumberingAfterBreak="0">
    <w:nsid w:val="5A57252E"/>
    <w:multiLevelType w:val="singleLevel"/>
    <w:tmpl w:val="5A57252E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35"/>
    <w:rsid w:val="000B7135"/>
    <w:rsid w:val="00145B32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0E57C-F639-4914-8E2F-6FEA8329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13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js.mof.gov.cn/zhengwuxinxi/zhengcefabu/201712/t20171229_279088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js.mof.gov.cn/zhengwuxinxi/zhengcefabu/201705/t20170525_2608690.html" TargetMode="External"/><Relationship Id="rId5" Type="http://schemas.openxmlformats.org/officeDocument/2006/relationships/hyperlink" Target="http://kjs.mof.gov.cn/zhengwuxinxi/zhengcefabu/201707/t20170719_2653110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sangliqiang</dc:creator>
  <cp:keywords/>
  <dc:description/>
  <cp:lastModifiedBy>sangliqiang</cp:lastModifiedBy>
  <cp:revision>1</cp:revision>
  <dcterms:created xsi:type="dcterms:W3CDTF">2018-06-26T06:29:00Z</dcterms:created>
  <dcterms:modified xsi:type="dcterms:W3CDTF">2018-06-26T06:30:00Z</dcterms:modified>
</cp:coreProperties>
</file>