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0B" w:rsidRDefault="00120E0B" w:rsidP="00120E0B">
      <w:pPr>
        <w:widowControl/>
        <w:spacing w:beforeLines="50" w:before="156" w:afterLines="50" w:after="156" w:line="520" w:lineRule="exact"/>
        <w:ind w:right="-57"/>
        <w:jc w:val="lef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附件1：</w:t>
      </w:r>
    </w:p>
    <w:p w:rsidR="00120E0B" w:rsidRDefault="00120E0B" w:rsidP="00120E0B">
      <w:pPr>
        <w:widowControl/>
        <w:spacing w:beforeLines="50" w:before="156" w:afterLines="50" w:after="156" w:line="520" w:lineRule="exact"/>
        <w:ind w:right="-57"/>
        <w:jc w:val="center"/>
        <w:rPr>
          <w:rFonts w:ascii="宋体" w:hAnsi="宋体" w:cs="宋体"/>
          <w:b/>
          <w:bCs/>
          <w:color w:val="121212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121212"/>
          <w:kern w:val="0"/>
          <w:sz w:val="36"/>
          <w:szCs w:val="36"/>
        </w:rPr>
        <w:t>“2018全国保险资产管理实务培训班”工作方案</w:t>
      </w:r>
    </w:p>
    <w:p w:rsidR="00120E0B" w:rsidRDefault="00120E0B" w:rsidP="00120E0B">
      <w:pPr>
        <w:widowControl/>
        <w:spacing w:beforeLines="50" w:before="156" w:afterLines="50" w:after="156" w:line="200" w:lineRule="exact"/>
        <w:ind w:right="-57"/>
        <w:jc w:val="center"/>
        <w:rPr>
          <w:rFonts w:ascii="宋体" w:hAnsi="宋体" w:cs="宋体"/>
          <w:b/>
          <w:bCs/>
          <w:color w:val="121212"/>
          <w:kern w:val="0"/>
          <w:sz w:val="18"/>
          <w:szCs w:val="18"/>
        </w:rPr>
      </w:pPr>
    </w:p>
    <w:p w:rsidR="00120E0B" w:rsidRDefault="00120E0B" w:rsidP="00120E0B">
      <w:pPr>
        <w:widowControl/>
        <w:spacing w:beforeLines="50" w:before="156" w:afterLines="50" w:after="156" w:line="600" w:lineRule="exact"/>
        <w:ind w:right="-57" w:firstLineChars="200" w:firstLine="602"/>
        <w:jc w:val="left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主管主办单位：中国总会计师协会</w:t>
      </w:r>
    </w:p>
    <w:p w:rsidR="00120E0B" w:rsidRPr="005F1496" w:rsidRDefault="00120E0B" w:rsidP="00120E0B">
      <w:pPr>
        <w:widowControl/>
        <w:spacing w:beforeLines="50" w:before="156" w:afterLines="50" w:after="156" w:line="600" w:lineRule="exact"/>
        <w:ind w:right="-57" w:firstLineChars="200" w:firstLine="602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委托承办单位：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0"/>
          <w:szCs w:val="30"/>
        </w:rPr>
        <w:t>北京长训教育科技有限公司</w:t>
      </w:r>
    </w:p>
    <w:p w:rsidR="00120E0B" w:rsidRDefault="00120E0B" w:rsidP="00120E0B">
      <w:pPr>
        <w:widowControl/>
        <w:spacing w:beforeLines="50" w:before="156" w:afterLines="50" w:after="156" w:line="600" w:lineRule="exact"/>
        <w:ind w:right="-57"/>
        <w:jc w:val="left"/>
        <w:rPr>
          <w:rFonts w:ascii="仿宋_GB2312" w:eastAsia="仿宋_GB2312" w:hAnsi="Verdana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 xml:space="preserve">    一、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  <w:shd w:val="clear" w:color="auto" w:fill="FFFFFF"/>
        </w:rPr>
        <w:t>地点及时间</w:t>
      </w:r>
    </w:p>
    <w:p w:rsidR="00120E0B" w:rsidRPr="00EA23BA" w:rsidRDefault="00120E0B" w:rsidP="00120E0B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第1期  上海市  2018年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5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11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14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11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日报到）   </w:t>
      </w:r>
    </w:p>
    <w:p w:rsidR="00120E0B" w:rsidRPr="00EA23BA" w:rsidRDefault="00120E0B" w:rsidP="00120E0B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第2期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青岛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8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10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13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10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日报到）</w:t>
      </w:r>
    </w:p>
    <w:p w:rsidR="00120E0B" w:rsidRPr="00EA23BA" w:rsidRDefault="00120E0B" w:rsidP="00120E0B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第3期 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成都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10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26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29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26</w:t>
      </w:r>
      <w:r w:rsidRPr="00EA23BA">
        <w:rPr>
          <w:rFonts w:ascii="仿宋_GB2312" w:eastAsia="仿宋_GB2312" w:hAnsi="仿宋_GB2312" w:cs="仿宋_GB2312" w:hint="eastAsia"/>
          <w:kern w:val="0"/>
          <w:sz w:val="30"/>
          <w:szCs w:val="30"/>
        </w:rPr>
        <w:t>日报到）</w:t>
      </w:r>
    </w:p>
    <w:p w:rsidR="00120E0B" w:rsidRDefault="00120E0B" w:rsidP="00120E0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二、主要培训内容</w:t>
      </w:r>
    </w:p>
    <w:p w:rsidR="00120E0B" w:rsidRDefault="00120E0B" w:rsidP="00120E0B">
      <w:pPr>
        <w:widowControl/>
        <w:spacing w:line="600" w:lineRule="exact"/>
        <w:ind w:firstLine="578"/>
        <w:jc w:val="left"/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  <w:t>模块</w:t>
      </w:r>
      <w:proofErr w:type="gramStart"/>
      <w:r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  <w:t>一</w:t>
      </w:r>
      <w:proofErr w:type="gramEnd"/>
      <w:r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  <w:t>：保险资产管理改革、创新与发展形势分析</w:t>
      </w:r>
    </w:p>
    <w:p w:rsidR="00120E0B" w:rsidRDefault="00120E0B" w:rsidP="00120E0B">
      <w:pPr>
        <w:widowControl/>
        <w:spacing w:line="600" w:lineRule="exact"/>
        <w:ind w:firstLine="578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大资管</w:t>
      </w:r>
      <w:proofErr w:type="gramEnd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时代：保险资产管理面临的机遇与挑战</w:t>
      </w:r>
    </w:p>
    <w:p w:rsidR="00120E0B" w:rsidRDefault="00120E0B" w:rsidP="00120E0B">
      <w:pPr>
        <w:widowControl/>
        <w:spacing w:line="600" w:lineRule="exact"/>
        <w:ind w:firstLine="578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保险资金运用现行政策框架解读</w:t>
      </w:r>
    </w:p>
    <w:p w:rsidR="00120E0B" w:rsidRDefault="00120E0B" w:rsidP="00120E0B">
      <w:pPr>
        <w:widowControl/>
        <w:spacing w:line="600" w:lineRule="exact"/>
        <w:ind w:firstLine="578"/>
        <w:jc w:val="left"/>
        <w:rPr>
          <w:rFonts w:ascii="仿宋_GB2312" w:eastAsia="仿宋_GB2312" w:hAnsi="仿宋_GB2312" w:cs="仿宋_GB2312"/>
          <w:b/>
          <w:bCs/>
          <w:w w:val="96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w w:val="96"/>
          <w:kern w:val="0"/>
          <w:sz w:val="30"/>
          <w:szCs w:val="30"/>
        </w:rPr>
        <w:t>模块二：《保险资金运用内部控制应用指引（第4号－第6号）》重点内容解读</w:t>
      </w:r>
    </w:p>
    <w:p w:rsidR="00120E0B" w:rsidRDefault="00120E0B" w:rsidP="00120E0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股权投资业务操作流程、投资决策、投资后管理、风险控制管理规定</w:t>
      </w:r>
    </w:p>
    <w:p w:rsidR="00120E0B" w:rsidRDefault="00120E0B" w:rsidP="00120E0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不动产投资</w:t>
      </w:r>
      <w:r>
        <w:rPr>
          <w:rFonts w:ascii="仿宋_GB2312" w:eastAsia="仿宋_GB2312" w:hAnsi="仿宋_GB2312" w:cs="仿宋_GB2312" w:hint="eastAsia"/>
          <w:sz w:val="30"/>
          <w:szCs w:val="30"/>
        </w:rPr>
        <w:t>业务操作流程、投资决策、投资后管理、风险控制管理规定</w:t>
      </w:r>
    </w:p>
    <w:p w:rsidR="00120E0B" w:rsidRDefault="00120E0B" w:rsidP="00120E0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金融产品投资业务操作流程、投资决策、投资后管理、风险控制管理规定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lastRenderedPageBreak/>
        <w:t>模块三：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大资管时代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保险资产管理最佳实践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从传统到另类—保险资产投资操作与投后管理案例分析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hAnsi="MS Gothic" w:cs="MS Gothic" w:hint="eastAsia"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从公募到私募—保险资产投资操作与投后管理案例分析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从虚拟到实体—保险资产投资操作与投后管理案例分析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从境内到</w:t>
      </w:r>
      <w:proofErr w:type="gramStart"/>
      <w:r>
        <w:rPr>
          <w:rFonts w:ascii="仿宋_GB2312" w:eastAsia="仿宋_GB2312" w:hAnsi="仿宋_GB2312" w:cs="仿宋_GB2312" w:hint="eastAsia"/>
          <w:bCs/>
          <w:sz w:val="30"/>
          <w:szCs w:val="30"/>
        </w:rPr>
        <w:t>境外—</w:t>
      </w:r>
      <w:proofErr w:type="gramEnd"/>
      <w:r>
        <w:rPr>
          <w:rFonts w:ascii="仿宋_GB2312" w:eastAsia="仿宋_GB2312" w:hAnsi="仿宋_GB2312" w:cs="仿宋_GB2312" w:hint="eastAsia"/>
          <w:bCs/>
          <w:sz w:val="30"/>
          <w:szCs w:val="30"/>
        </w:rPr>
        <w:t>保险资产投资操作与投后管理案例分析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模块四：内控有效、运作合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规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——保险资产风险管理专题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保险投资风险识别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偿二代监管规则与案例解析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hAnsi="MS Gothic" w:cs="MS Gothic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非标业务投资中的内控风险管理问题</w:t>
      </w:r>
    </w:p>
    <w:p w:rsidR="00120E0B" w:rsidRDefault="00120E0B" w:rsidP="00120E0B">
      <w:pPr>
        <w:widowControl/>
        <w:spacing w:line="600" w:lineRule="exact"/>
        <w:ind w:firstLine="615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防范内幕交易、“老鼠仓”法规解读与案例分析</w:t>
      </w:r>
    </w:p>
    <w:p w:rsidR="00120E0B" w:rsidRDefault="00120E0B" w:rsidP="00120E0B">
      <w:pPr>
        <w:widowControl/>
        <w:spacing w:line="6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kern w:val="0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kern w:val="0"/>
          <w:sz w:val="30"/>
          <w:szCs w:val="30"/>
        </w:rPr>
        <w:t>模块五:保险资产管理理论与实践交流</w:t>
      </w:r>
    </w:p>
    <w:p w:rsidR="00120E0B" w:rsidRDefault="00120E0B" w:rsidP="00120E0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从业经验交流</w:t>
      </w:r>
    </w:p>
    <w:p w:rsidR="00120E0B" w:rsidRDefault="00120E0B" w:rsidP="00120E0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MS Gothic" w:hAnsi="MS Gothic" w:cs="MS Gothic" w:hint="eastAsia"/>
          <w:kern w:val="0"/>
          <w:sz w:val="30"/>
          <w:szCs w:val="30"/>
        </w:rPr>
        <w:t>▪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专家及与会代表现场点评</w:t>
      </w:r>
    </w:p>
    <w:p w:rsidR="00120E0B" w:rsidRDefault="00120E0B" w:rsidP="00120E0B">
      <w:pPr>
        <w:widowControl/>
        <w:spacing w:line="600" w:lineRule="exact"/>
        <w:ind w:firstLineChars="196" w:firstLine="590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三、师资力量</w:t>
      </w:r>
    </w:p>
    <w:p w:rsidR="00120E0B" w:rsidRDefault="00120E0B" w:rsidP="00120E0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将邀请监管机构、境内外领先保险机构、知名保险资产管理公司、</w:t>
      </w:r>
      <w:r w:rsidRPr="00432A54">
        <w:rPr>
          <w:rFonts w:ascii="仿宋_GB2312" w:eastAsia="仿宋_GB2312" w:hAnsi="仿宋_GB2312" w:cs="仿宋_GB2312" w:hint="eastAsia"/>
          <w:kern w:val="0"/>
          <w:sz w:val="30"/>
          <w:szCs w:val="30"/>
        </w:rPr>
        <w:t>Deloitte、PwC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等单位专家和高管与会，就以上内容进行专题讲授，突出实用性和时效性，并安排时间进行案例分享，组织现场交流。</w:t>
      </w:r>
    </w:p>
    <w:p w:rsidR="00120E0B" w:rsidRDefault="00120E0B" w:rsidP="00120E0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四、培训对象</w:t>
      </w:r>
    </w:p>
    <w:p w:rsidR="00120E0B" w:rsidRDefault="00120E0B" w:rsidP="00120E0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 w:hint="eastAsia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1、各保险公司、保险资产管理公司及其分支机构投资、交易、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风控合规</w:t>
      </w:r>
      <w:proofErr w:type="gramEnd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业务管理人员和业务骨干；</w:t>
      </w:r>
    </w:p>
    <w:p w:rsidR="00120E0B" w:rsidRDefault="00120E0B" w:rsidP="00120E0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2、监管机构和行业组织相关业务负责人。</w:t>
      </w:r>
    </w:p>
    <w:p w:rsidR="00120E0B" w:rsidRDefault="00120E0B" w:rsidP="00120E0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五、培训证书</w:t>
      </w:r>
    </w:p>
    <w:p w:rsidR="00120E0B" w:rsidRDefault="00120E0B" w:rsidP="00120E0B">
      <w:pPr>
        <w:widowControl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lastRenderedPageBreak/>
        <w:t>培训班学习期满，颁发中国总会计师协会《培训结业证书》。</w:t>
      </w:r>
    </w:p>
    <w:p w:rsidR="00120E0B" w:rsidRDefault="00120E0B" w:rsidP="00120E0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六、报名程序</w:t>
      </w:r>
    </w:p>
    <w:p w:rsidR="00120E0B" w:rsidRDefault="00120E0B" w:rsidP="00120E0B">
      <w:pPr>
        <w:widowControl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1．本次培训班相关信息和报名表格请见中国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shd w:val="clear" w:color="auto" w:fill="FFFFFF"/>
        </w:rPr>
        <w:t>总会计师协会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官网（http://www.cacfo.com/）培训工作专栏</w:t>
      </w:r>
      <w:r>
        <w:rPr>
          <w:rFonts w:ascii="仿宋_GB2312" w:eastAsia="仿宋_GB2312" w:hAnsi="仿宋_GB2312" w:cs="仿宋_GB2312" w:hint="eastAsia"/>
          <w:color w:val="121212"/>
          <w:kern w:val="0"/>
          <w:sz w:val="30"/>
          <w:szCs w:val="30"/>
        </w:rPr>
        <w:t>。</w:t>
      </w:r>
    </w:p>
    <w:p w:rsidR="00120E0B" w:rsidRDefault="00120E0B" w:rsidP="00120E0B">
      <w:pPr>
        <w:widowControl/>
        <w:spacing w:line="60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2．请各单位组织报名，填写回执，加盖公章，务必于每期培训班开始前一周传真至会务组收。</w:t>
      </w:r>
    </w:p>
    <w:p w:rsidR="00120E0B" w:rsidRDefault="00120E0B" w:rsidP="00120E0B">
      <w:pPr>
        <w:widowControl/>
        <w:spacing w:line="600" w:lineRule="exact"/>
        <w:ind w:firstLineChars="200" w:firstLine="602"/>
        <w:jc w:val="left"/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七、收费标准</w:t>
      </w:r>
    </w:p>
    <w:p w:rsidR="00120E0B" w:rsidRPr="0040631F" w:rsidRDefault="00120E0B" w:rsidP="00120E0B">
      <w:pPr>
        <w:widowControl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40631F">
        <w:rPr>
          <w:rFonts w:ascii="仿宋_GB2312" w:eastAsia="仿宋_GB2312" w:hAnsi="仿宋_GB2312" w:cs="仿宋_GB2312" w:hint="eastAsia"/>
          <w:kern w:val="0"/>
          <w:sz w:val="30"/>
          <w:szCs w:val="30"/>
        </w:rPr>
        <w:t>培训费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398</w:t>
      </w:r>
      <w:r w:rsidRPr="0040631F">
        <w:rPr>
          <w:rFonts w:ascii="仿宋_GB2312" w:eastAsia="仿宋_GB2312" w:hAnsi="仿宋_GB2312" w:cs="仿宋_GB2312" w:hint="eastAsia"/>
          <w:kern w:val="0"/>
          <w:sz w:val="30"/>
          <w:szCs w:val="30"/>
        </w:rPr>
        <w:t>0元/人；</w:t>
      </w:r>
      <w:r w:rsidRPr="0040631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食宿统一安排，费用自理；往返交通及费用由参会单位或个人自行办理。报名人员可在培训班开始前一周将费用汇至委托承办单位账户，并将银行汇款凭证传真至会务组，以便开具增值税专用发票。收款单位户名：北京长训教育科技有限公司；开户银行：中国工商银行股份有限公司北京科技园支行；账号：</w:t>
      </w:r>
      <w:r w:rsidRPr="0040631F"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  <w:t>0200 2964 0920 0239 547</w:t>
      </w:r>
      <w:r w:rsidRPr="0040631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。培训班也接受现场缴费。</w:t>
      </w:r>
    </w:p>
    <w:p w:rsidR="00120E0B" w:rsidRPr="00685090" w:rsidRDefault="00120E0B" w:rsidP="00120E0B">
      <w:pPr>
        <w:widowControl/>
        <w:spacing w:line="560" w:lineRule="exact"/>
        <w:ind w:firstLineChars="200" w:firstLine="602"/>
        <w:rPr>
          <w:rFonts w:ascii="仿宋_GB2312" w:eastAsia="仿宋_GB2312" w:hAnsi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0"/>
          <w:szCs w:val="30"/>
        </w:rPr>
        <w:t>八</w:t>
      </w:r>
      <w:r w:rsidRPr="00685090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0"/>
          <w:szCs w:val="30"/>
        </w:rPr>
        <w:t>、会务组联系方式</w:t>
      </w:r>
    </w:p>
    <w:p w:rsidR="00120E0B" w:rsidRPr="00CA75BF" w:rsidRDefault="00120E0B" w:rsidP="00120E0B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咨询电话：010-52262775   52262788</w:t>
      </w:r>
    </w:p>
    <w:p w:rsidR="00120E0B" w:rsidRPr="00CA75BF" w:rsidRDefault="00120E0B" w:rsidP="00120E0B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13911137571（</w:t>
      </w:r>
      <w:proofErr w:type="gramStart"/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微信同</w:t>
      </w:r>
      <w:proofErr w:type="gramEnd"/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号）  88191832（</w:t>
      </w:r>
      <w:proofErr w:type="gramStart"/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中总协培训部</w:t>
      </w:r>
      <w:proofErr w:type="gramEnd"/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）</w:t>
      </w:r>
    </w:p>
    <w:p w:rsidR="00120E0B" w:rsidRPr="00CA75BF" w:rsidRDefault="00120E0B" w:rsidP="00120E0B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报名传真：010-52262787   52262790</w:t>
      </w:r>
    </w:p>
    <w:p w:rsidR="00120E0B" w:rsidRPr="00CA75BF" w:rsidRDefault="00120E0B" w:rsidP="00120E0B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联 系 人：徐黎明  周正  孙东阳  </w:t>
      </w:r>
      <w:proofErr w:type="gramStart"/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桑立强</w:t>
      </w:r>
      <w:proofErr w:type="gramEnd"/>
    </w:p>
    <w:p w:rsidR="00120E0B" w:rsidRDefault="00120E0B" w:rsidP="00120E0B">
      <w:pPr>
        <w:widowControl/>
        <w:spacing w:line="560" w:lineRule="exact"/>
        <w:ind w:firstLineChars="200" w:firstLine="600"/>
        <w:rPr>
          <w:rFonts w:ascii="仿宋_GB2312" w:eastAsia="仿宋_GB2312" w:hAnsi="Verdana" w:cs="宋体"/>
          <w:color w:val="121212"/>
          <w:sz w:val="30"/>
          <w:szCs w:val="30"/>
        </w:rPr>
      </w:pPr>
      <w:r w:rsidRPr="00CA75B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报名邮箱：3039056115@qq.com</w:t>
      </w:r>
    </w:p>
    <w:p w:rsidR="00ED1531" w:rsidRDefault="00ED1531">
      <w:bookmarkStart w:id="0" w:name="_GoBack"/>
      <w:bookmarkEnd w:id="0"/>
    </w:p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0B"/>
    <w:rsid w:val="00120E0B"/>
    <w:rsid w:val="00145B32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DE219-3A88-443D-BD7E-705C3B00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E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2018-01-28T03:18:00Z</dcterms:created>
  <dcterms:modified xsi:type="dcterms:W3CDTF">2018-01-28T03:19:00Z</dcterms:modified>
</cp:coreProperties>
</file>