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02D" w:rsidRDefault="00EA402D" w:rsidP="00EA402D">
      <w:pPr>
        <w:tabs>
          <w:tab w:val="left" w:pos="4820"/>
        </w:tabs>
        <w:rPr>
          <w:rFonts w:ascii="仿宋_GB2312" w:eastAsia="仿宋_GB2312"/>
          <w:sz w:val="28"/>
          <w:szCs w:val="28"/>
        </w:rPr>
      </w:pPr>
      <w:r>
        <w:rPr>
          <w:rFonts w:ascii="仿宋_GB2312" w:eastAsia="仿宋_GB2312" w:hint="eastAsia"/>
          <w:sz w:val="28"/>
          <w:szCs w:val="28"/>
        </w:rPr>
        <w:t>附件2：</w:t>
      </w:r>
    </w:p>
    <w:p w:rsidR="00EA402D" w:rsidRDefault="00EA402D" w:rsidP="00EA402D">
      <w:pPr>
        <w:spacing w:line="500" w:lineRule="exact"/>
        <w:ind w:leftChars="300" w:left="630"/>
        <w:jc w:val="center"/>
        <w:rPr>
          <w:rFonts w:ascii="黑体" w:eastAsia="黑体"/>
          <w:b/>
          <w:sz w:val="32"/>
          <w:szCs w:val="32"/>
        </w:rPr>
      </w:pPr>
      <w:proofErr w:type="gramStart"/>
      <w:r>
        <w:rPr>
          <w:rFonts w:ascii="黑体" w:eastAsia="黑体" w:hint="eastAsia"/>
          <w:b/>
          <w:sz w:val="32"/>
          <w:szCs w:val="32"/>
        </w:rPr>
        <w:t>《</w:t>
      </w:r>
      <w:proofErr w:type="gramEnd"/>
      <w:r>
        <w:rPr>
          <w:rFonts w:ascii="黑体" w:eastAsia="黑体" w:hint="eastAsia"/>
          <w:b/>
          <w:sz w:val="32"/>
          <w:szCs w:val="32"/>
        </w:rPr>
        <w:t>行政事业单位财务管理重难点问题详解与特殊行业</w:t>
      </w:r>
    </w:p>
    <w:p w:rsidR="00EA402D" w:rsidRDefault="00EA402D" w:rsidP="00EA402D">
      <w:pPr>
        <w:spacing w:line="500" w:lineRule="exact"/>
        <w:ind w:leftChars="300" w:left="630"/>
        <w:jc w:val="center"/>
        <w:rPr>
          <w:rFonts w:ascii="仿宋_GB2312" w:eastAsia="仿宋_GB2312"/>
          <w:b/>
          <w:sz w:val="28"/>
          <w:szCs w:val="28"/>
        </w:rPr>
      </w:pPr>
      <w:r>
        <w:rPr>
          <w:rFonts w:ascii="黑体" w:eastAsia="黑体" w:hint="eastAsia"/>
          <w:b/>
          <w:sz w:val="32"/>
          <w:szCs w:val="32"/>
        </w:rPr>
        <w:t>政府会计制度实施专题培训班</w:t>
      </w:r>
      <w:proofErr w:type="gramStart"/>
      <w:r>
        <w:rPr>
          <w:rFonts w:ascii="黑体" w:eastAsia="黑体" w:hint="eastAsia"/>
          <w:b/>
          <w:sz w:val="32"/>
          <w:szCs w:val="32"/>
        </w:rPr>
        <w:t>》</w:t>
      </w:r>
      <w:proofErr w:type="gramEnd"/>
      <w:r>
        <w:rPr>
          <w:rFonts w:ascii="黑体" w:eastAsia="黑体" w:hint="eastAsia"/>
          <w:b/>
          <w:sz w:val="32"/>
          <w:szCs w:val="32"/>
        </w:rPr>
        <w:t>专题介绍</w:t>
      </w:r>
    </w:p>
    <w:p w:rsidR="00EA402D" w:rsidRDefault="00EA402D" w:rsidP="00EA402D">
      <w:pPr>
        <w:tabs>
          <w:tab w:val="left" w:pos="4820"/>
          <w:tab w:val="left" w:pos="7788"/>
        </w:tabs>
        <w:spacing w:beforeLines="50" w:before="156"/>
        <w:rPr>
          <w:rFonts w:ascii="仿宋_GB2312" w:eastAsia="仿宋_GB2312"/>
          <w:b/>
          <w:sz w:val="28"/>
          <w:szCs w:val="28"/>
        </w:rPr>
      </w:pPr>
      <w:r>
        <w:rPr>
          <w:rFonts w:ascii="仿宋_GB2312" w:eastAsia="仿宋_GB2312" w:hAnsi="Calibri" w:hint="eastAsia"/>
          <w:b/>
          <w:kern w:val="0"/>
          <w:sz w:val="28"/>
          <w:szCs w:val="28"/>
        </w:rPr>
        <w:t>专题</w:t>
      </w:r>
      <w:proofErr w:type="gramStart"/>
      <w:r>
        <w:rPr>
          <w:rFonts w:ascii="仿宋_GB2312" w:eastAsia="仿宋_GB2312" w:hAnsi="Calibri" w:hint="eastAsia"/>
          <w:b/>
          <w:kern w:val="0"/>
          <w:sz w:val="28"/>
          <w:szCs w:val="28"/>
        </w:rPr>
        <w:t>一</w:t>
      </w:r>
      <w:proofErr w:type="gramEnd"/>
      <w:r>
        <w:rPr>
          <w:rFonts w:ascii="仿宋_GB2312" w:eastAsia="仿宋_GB2312" w:hAnsi="Calibri" w:hint="eastAsia"/>
          <w:b/>
          <w:kern w:val="0"/>
          <w:sz w:val="28"/>
          <w:szCs w:val="28"/>
        </w:rPr>
        <w:t>：</w:t>
      </w:r>
      <w:r>
        <w:rPr>
          <w:rFonts w:ascii="仿宋_GB2312" w:eastAsia="仿宋_GB2312" w:hint="eastAsia"/>
          <w:b/>
          <w:sz w:val="28"/>
          <w:szCs w:val="28"/>
        </w:rPr>
        <w:t>政府采购最新政策实施与招标投标管理专题培训班</w:t>
      </w:r>
      <w:r>
        <w:rPr>
          <w:rFonts w:ascii="仿宋_GB2312" w:eastAsia="仿宋_GB2312"/>
          <w:b/>
          <w:sz w:val="28"/>
          <w:szCs w:val="28"/>
        </w:rPr>
        <w:tab/>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背景：财政部于2017年7月颁布了《政府采购货物和服务招标投标管理办法》，就进一步规范政府采购当事人的采购行为，加强对政府采购货物和服务招标投标活动的监督管理的有关事项进行明确；12月财政部印发《政府采购质疑和投诉办法》和《政务信息系统政府采购管理暂行办法》，着力维护政府采购各方当事人的合法权益，形成了完整的政府采购救济制度，并对政务信息系统采购提出新要求；2018年1月又印发《政府采购代理机构管理暂行办法》的通知，如此密集的政府采购相关办法实施对相关人员提出了新的挑战。政府采购和招标投标的关联性比较强，中华人民共和国主席令第八十六号《全国人民代表大会常务委员会关于修改〈中华人民共和国招标投标法〉、〈中华人民共和国计量法〉的决定》已由中华人民共和国第十二届全国人民代表大会常务委员会第三十一次会议于2017年12月27日通过，现予公布，自2017年12月28日起施行。招标投标法的修改将对其实施也产生一定影响。本课程将政府采购与招标投标管理的变动结合讲授，系统地解决实际问题。</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课程内容：</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hAnsi="宋体" w:cs="仿宋_GB2312"/>
          <w:sz w:val="28"/>
          <w:szCs w:val="28"/>
        </w:rPr>
        <w:t>(</w:t>
      </w:r>
      <w:r>
        <w:rPr>
          <w:rFonts w:ascii="仿宋_GB2312" w:eastAsia="仿宋_GB2312" w:hAnsi="宋体" w:cs="仿宋_GB2312" w:hint="eastAsia"/>
          <w:sz w:val="28"/>
          <w:szCs w:val="28"/>
        </w:rPr>
        <w:t>1</w:t>
      </w:r>
      <w:r>
        <w:rPr>
          <w:rFonts w:ascii="仿宋_GB2312" w:eastAsia="仿宋_GB2312" w:hAnsi="宋体" w:cs="仿宋_GB2312"/>
          <w:sz w:val="28"/>
          <w:szCs w:val="28"/>
        </w:rPr>
        <w:t>)</w:t>
      </w:r>
      <w:r>
        <w:rPr>
          <w:rFonts w:ascii="仿宋_GB2312" w:eastAsia="仿宋_GB2312" w:hAnsi="宋体" w:cs="仿宋_GB2312" w:hint="eastAsia"/>
          <w:sz w:val="28"/>
          <w:szCs w:val="28"/>
        </w:rPr>
        <w:t>政府采购最新政策动态解析与</w:t>
      </w:r>
      <w:r>
        <w:rPr>
          <w:rFonts w:ascii="仿宋_GB2312" w:eastAsia="仿宋_GB2312" w:cs="仿宋_GB2312" w:hint="eastAsia"/>
          <w:sz w:val="28"/>
          <w:szCs w:val="28"/>
        </w:rPr>
        <w:t>应用</w:t>
      </w:r>
    </w:p>
    <w:p w:rsidR="00EA402D" w:rsidRDefault="00EA402D" w:rsidP="00EA402D">
      <w:pPr>
        <w:tabs>
          <w:tab w:val="left" w:pos="1620"/>
          <w:tab w:val="left" w:pos="1800"/>
        </w:tabs>
        <w:spacing w:line="500" w:lineRule="exact"/>
        <w:ind w:firstLine="560"/>
        <w:jc w:val="left"/>
        <w:rPr>
          <w:rFonts w:ascii="仿宋_GB2312" w:eastAsia="仿宋_GB2312" w:hAnsi="宋体"/>
          <w:sz w:val="28"/>
          <w:szCs w:val="28"/>
        </w:rPr>
      </w:pPr>
      <w:r>
        <w:rPr>
          <w:rFonts w:ascii="仿宋_GB2312" w:eastAsia="仿宋_GB2312" w:hAnsi="宋体" w:hint="eastAsia"/>
          <w:sz w:val="28"/>
          <w:szCs w:val="28"/>
        </w:rPr>
        <w:t>（最新政府集中采购目录及标准解析；创新政府配置资源方式；</w:t>
      </w:r>
      <w:r>
        <w:rPr>
          <w:rFonts w:ascii="仿宋_GB2312" w:eastAsia="仿宋_GB2312" w:hAnsi="宋体" w:cs="仿宋_GB2312" w:hint="eastAsia"/>
          <w:sz w:val="28"/>
          <w:szCs w:val="28"/>
        </w:rPr>
        <w:t>《政府采购法实施条例》的要求；</w:t>
      </w:r>
      <w:r>
        <w:rPr>
          <w:rFonts w:ascii="仿宋_GB2312" w:eastAsia="仿宋_GB2312" w:cs="仿宋_GB2312" w:hint="eastAsia"/>
          <w:sz w:val="28"/>
          <w:szCs w:val="28"/>
        </w:rPr>
        <w:t>关于印发《政府采购代理机构管理暂行办法》的通知</w:t>
      </w:r>
      <w:r>
        <w:rPr>
          <w:rFonts w:ascii="仿宋_GB2312" w:eastAsia="仿宋_GB2312" w:hAnsi="宋体" w:hint="eastAsia"/>
          <w:sz w:val="28"/>
          <w:szCs w:val="28"/>
        </w:rPr>
        <w:t>；</w:t>
      </w:r>
      <w:r>
        <w:rPr>
          <w:rFonts w:ascii="仿宋_GB2312" w:eastAsia="仿宋_GB2312" w:cs="仿宋_GB2312" w:hint="eastAsia"/>
          <w:sz w:val="28"/>
          <w:szCs w:val="28"/>
        </w:rPr>
        <w:t>关于印发《政务信息系统政府采购管理暂行办法》的通知；</w:t>
      </w:r>
      <w:r>
        <w:rPr>
          <w:rFonts w:ascii="仿宋_GB2312" w:eastAsia="仿宋_GB2312" w:hAnsi="宋体" w:hint="eastAsia"/>
          <w:sz w:val="28"/>
          <w:szCs w:val="28"/>
        </w:rPr>
        <w:t>《政府采购评审专家管理办法》解读；《中央和国家机关会议费管理办法》解读等）</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行政事业单位支出管理新要求</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lastRenderedPageBreak/>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深化国库集中支付制度改革做法、措施及应注意的问题</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政府采购对象、采购方式与适用法律</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政府采购政策目标与措施</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不同采购方式术语比较</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政府采购流程与特殊情形处理</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8</w:t>
      </w:r>
      <w:r>
        <w:rPr>
          <w:rFonts w:ascii="仿宋_GB2312" w:eastAsia="仿宋_GB2312" w:cs="仿宋_GB2312"/>
          <w:sz w:val="28"/>
          <w:szCs w:val="28"/>
        </w:rPr>
        <w:t>)</w:t>
      </w:r>
      <w:r>
        <w:rPr>
          <w:rFonts w:ascii="仿宋_GB2312" w:eastAsia="仿宋_GB2312" w:cs="仿宋_GB2312" w:hint="eastAsia"/>
          <w:sz w:val="28"/>
          <w:szCs w:val="28"/>
        </w:rPr>
        <w:t>政府采购与招标投标法关系</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9</w:t>
      </w:r>
      <w:r>
        <w:rPr>
          <w:rFonts w:ascii="仿宋_GB2312" w:eastAsia="仿宋_GB2312" w:cs="仿宋_GB2312"/>
          <w:sz w:val="28"/>
          <w:szCs w:val="28"/>
        </w:rPr>
        <w:t>)</w:t>
      </w:r>
      <w:r>
        <w:rPr>
          <w:rFonts w:ascii="仿宋_GB2312" w:eastAsia="仿宋_GB2312" w:cs="仿宋_GB2312" w:hint="eastAsia"/>
          <w:sz w:val="28"/>
          <w:szCs w:val="28"/>
        </w:rPr>
        <w:t>招标投标法调整内容与相关影响解析</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10</w:t>
      </w:r>
      <w:r>
        <w:rPr>
          <w:rFonts w:ascii="仿宋_GB2312" w:eastAsia="仿宋_GB2312" w:cs="仿宋_GB2312"/>
          <w:sz w:val="28"/>
          <w:szCs w:val="28"/>
        </w:rPr>
        <w:t>)</w:t>
      </w:r>
      <w:proofErr w:type="gramStart"/>
      <w:r>
        <w:rPr>
          <w:rFonts w:ascii="仿宋_GB2312" w:eastAsia="仿宋_GB2312" w:cs="仿宋_GB2312" w:hint="eastAsia"/>
          <w:sz w:val="28"/>
          <w:szCs w:val="28"/>
        </w:rPr>
        <w:t>招标全</w:t>
      </w:r>
      <w:proofErr w:type="gramEnd"/>
      <w:r>
        <w:rPr>
          <w:rFonts w:ascii="仿宋_GB2312" w:eastAsia="仿宋_GB2312" w:cs="仿宋_GB2312" w:hint="eastAsia"/>
          <w:sz w:val="28"/>
          <w:szCs w:val="28"/>
        </w:rPr>
        <w:t>流程关键</w:t>
      </w:r>
      <w:proofErr w:type="gramStart"/>
      <w:r>
        <w:rPr>
          <w:rFonts w:ascii="仿宋_GB2312" w:eastAsia="仿宋_GB2312" w:cs="仿宋_GB2312" w:hint="eastAsia"/>
          <w:sz w:val="28"/>
          <w:szCs w:val="28"/>
        </w:rPr>
        <w:t>点把握</w:t>
      </w:r>
      <w:proofErr w:type="gramEnd"/>
      <w:r>
        <w:rPr>
          <w:rFonts w:ascii="仿宋_GB2312" w:eastAsia="仿宋_GB2312" w:cs="仿宋_GB2312" w:hint="eastAsia"/>
          <w:sz w:val="28"/>
          <w:szCs w:val="28"/>
        </w:rPr>
        <w:t>要领</w:t>
      </w:r>
    </w:p>
    <w:p w:rsidR="00EA402D" w:rsidRDefault="00EA402D" w:rsidP="00EA402D">
      <w:pPr>
        <w:tabs>
          <w:tab w:val="left" w:pos="1620"/>
          <w:tab w:val="left" w:pos="1800"/>
        </w:tabs>
        <w:spacing w:line="500" w:lineRule="exact"/>
        <w:ind w:firstLineChars="200" w:firstLine="560"/>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11</w:t>
      </w:r>
      <w:r>
        <w:rPr>
          <w:rFonts w:ascii="仿宋_GB2312" w:eastAsia="仿宋_GB2312" w:cs="仿宋_GB2312"/>
          <w:sz w:val="28"/>
          <w:szCs w:val="28"/>
        </w:rPr>
        <w:t>)</w:t>
      </w:r>
      <w:r>
        <w:rPr>
          <w:rFonts w:ascii="仿宋_GB2312" w:eastAsia="仿宋_GB2312" w:cs="仿宋_GB2312" w:hint="eastAsia"/>
          <w:sz w:val="28"/>
          <w:szCs w:val="28"/>
        </w:rPr>
        <w:t>投标过程中违规行为的防范措施</w:t>
      </w:r>
    </w:p>
    <w:p w:rsidR="00EA402D" w:rsidRDefault="00EA402D" w:rsidP="00EA402D">
      <w:pPr>
        <w:tabs>
          <w:tab w:val="left" w:pos="1620"/>
          <w:tab w:val="left" w:pos="1800"/>
        </w:tabs>
        <w:spacing w:line="500" w:lineRule="exact"/>
        <w:ind w:firstLineChars="200" w:firstLine="560"/>
        <w:jc w:val="left"/>
        <w:rPr>
          <w:rFonts w:ascii="仿宋_GB2312" w:eastAsia="仿宋_GB2312"/>
          <w:b/>
          <w:sz w:val="28"/>
          <w:szCs w:val="28"/>
        </w:rPr>
      </w:pPr>
      <w:r>
        <w:rPr>
          <w:rFonts w:ascii="仿宋_GB2312" w:eastAsia="仿宋_GB2312" w:cs="仿宋_GB2312"/>
          <w:sz w:val="28"/>
          <w:szCs w:val="28"/>
        </w:rPr>
        <w:t>(</w:t>
      </w:r>
      <w:r>
        <w:rPr>
          <w:rFonts w:ascii="仿宋_GB2312" w:eastAsia="仿宋_GB2312" w:cs="仿宋_GB2312" w:hint="eastAsia"/>
          <w:sz w:val="28"/>
          <w:szCs w:val="28"/>
        </w:rPr>
        <w:t>12</w:t>
      </w:r>
      <w:r>
        <w:rPr>
          <w:rFonts w:ascii="仿宋_GB2312" w:eastAsia="仿宋_GB2312" w:cs="仿宋_GB2312"/>
          <w:sz w:val="28"/>
          <w:szCs w:val="28"/>
        </w:rPr>
        <w:t>)</w:t>
      </w:r>
      <w:r>
        <w:rPr>
          <w:rFonts w:ascii="仿宋_GB2312" w:eastAsia="仿宋_GB2312" w:cs="仿宋_GB2312" w:hint="eastAsia"/>
          <w:sz w:val="28"/>
          <w:szCs w:val="28"/>
        </w:rPr>
        <w:t>政府采购与招标投标案例解析</w:t>
      </w:r>
    </w:p>
    <w:p w:rsidR="00EA402D" w:rsidRDefault="00EA402D" w:rsidP="00EA402D">
      <w:pPr>
        <w:tabs>
          <w:tab w:val="left" w:pos="1620"/>
          <w:tab w:val="left" w:pos="1800"/>
        </w:tabs>
        <w:jc w:val="left"/>
        <w:rPr>
          <w:rFonts w:ascii="仿宋_GB2312" w:eastAsia="仿宋_GB2312"/>
          <w:b/>
          <w:sz w:val="28"/>
          <w:szCs w:val="28"/>
        </w:rPr>
      </w:pPr>
      <w:r>
        <w:rPr>
          <w:rFonts w:ascii="仿宋_GB2312" w:eastAsia="仿宋_GB2312" w:hAnsi="Calibri" w:hint="eastAsia"/>
          <w:b/>
          <w:kern w:val="0"/>
          <w:sz w:val="28"/>
          <w:szCs w:val="28"/>
        </w:rPr>
        <w:t>专题二：</w:t>
      </w:r>
      <w:r>
        <w:rPr>
          <w:rFonts w:ascii="仿宋_GB2312" w:eastAsia="仿宋_GB2312" w:hint="eastAsia"/>
          <w:b/>
          <w:sz w:val="28"/>
          <w:szCs w:val="28"/>
        </w:rPr>
        <w:t>国有资产管理与债务管理最新政策实施重难点解析专题培训班</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背景：为建立科学、规范的行政事业单位资产年度报告体系，提高国有资产信息质量和应用水平，夯实资产管理和预算管理的数据基础，为编制政府资产报告提供依据，2017年财政部制定了《行政事业单位国有资产年度报告管理办法》。办法要求每年需按时间要求报送国有资产年度报告，并对职责分工、报告内容、报告编报和报告审核等内容进行了明确。2017年6月，为适应加快现代财政制度改革和信息化发展的需要，充分运用互联网、移动智能等信息技术手段，推广运用财政电子票据，推进财政电子票据管理改革，全面提高财政票据社会需求便捷度，提升财政票据监管水平和效率，财政部</w:t>
      </w:r>
      <w:r>
        <w:rPr>
          <w:rFonts w:ascii="仿宋_GB2312" w:eastAsia="仿宋_GB2312" w:cs="仿宋_GB2312"/>
          <w:sz w:val="28"/>
          <w:szCs w:val="28"/>
        </w:rPr>
        <w:t>研究制定了《关于稳步推进财政电子票据管理改革的试点方案》</w:t>
      </w:r>
      <w:r>
        <w:rPr>
          <w:rFonts w:ascii="仿宋_GB2312" w:eastAsia="仿宋_GB2312" w:cs="仿宋_GB2312" w:hint="eastAsia"/>
          <w:sz w:val="28"/>
          <w:szCs w:val="28"/>
        </w:rPr>
        <w:t>，对财政电子票据管理流程、规则、服务接口等内容进行了规范。国有资产管理与政府债务管理、地方政府债券管理关联性较强，且相关规定的实施中也出现一些新问题，本课程将以解决实际工作中的问题为导向，将理论与实践结合进行讲授与交流讨论。</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课程内容：</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lastRenderedPageBreak/>
        <w:t>(1)</w:t>
      </w:r>
      <w:r>
        <w:rPr>
          <w:rFonts w:ascii="仿宋_GB2312" w:eastAsia="仿宋_GB2312" w:cs="仿宋_GB2312" w:hint="eastAsia"/>
          <w:sz w:val="28"/>
          <w:szCs w:val="28"/>
        </w:rPr>
        <w:t>行政事业单位国有资产管理最新政策与趋势解读</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sz w:val="28"/>
          <w:szCs w:val="28"/>
        </w:rPr>
        <w:t>关于印发《行政事业单位国有资产年度报告管理办法》的通知</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sz w:val="28"/>
          <w:szCs w:val="28"/>
        </w:rPr>
        <w:t>财政电子票据管理基本流程</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财政票据编码规则和财政电子票据数据规范</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财政电子票据公共服务接口规范</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行政事业单位国有资产管理办法、配套制度</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《地方行政单位国有资产处置管理暂行办法》应用解析</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8</w:t>
      </w:r>
      <w:r>
        <w:rPr>
          <w:rFonts w:ascii="仿宋_GB2312" w:eastAsia="仿宋_GB2312" w:cs="仿宋_GB2312"/>
          <w:sz w:val="28"/>
          <w:szCs w:val="28"/>
        </w:rPr>
        <w:t>)</w:t>
      </w:r>
      <w:r>
        <w:rPr>
          <w:rFonts w:ascii="仿宋_GB2312" w:eastAsia="仿宋_GB2312" w:cs="仿宋_GB2312" w:hint="eastAsia"/>
          <w:sz w:val="28"/>
          <w:szCs w:val="28"/>
        </w:rPr>
        <w:t>行政事业单位资产使用与处置难点解析与收益管理</w:t>
      </w:r>
    </w:p>
    <w:p w:rsidR="00EA402D" w:rsidRDefault="00EA402D" w:rsidP="00EA402D">
      <w:pPr>
        <w:spacing w:line="500" w:lineRule="exact"/>
        <w:ind w:left="561"/>
        <w:rPr>
          <w:rFonts w:ascii="仿宋_GB2312" w:eastAsia="仿宋_GB2312" w:cs="仿宋_GB2312"/>
          <w:sz w:val="28"/>
          <w:szCs w:val="28"/>
        </w:rPr>
      </w:pPr>
      <w:r>
        <w:rPr>
          <w:rFonts w:ascii="仿宋_GB2312" w:eastAsia="仿宋_GB2312" w:cs="仿宋_GB2312" w:hint="eastAsia"/>
          <w:sz w:val="28"/>
          <w:szCs w:val="28"/>
        </w:rPr>
        <w:t>(9)事业单位对外投资管理及新增限制性规定</w:t>
      </w:r>
    </w:p>
    <w:p w:rsidR="00EA402D" w:rsidRDefault="00EA402D" w:rsidP="00EA402D">
      <w:pPr>
        <w:spacing w:line="500" w:lineRule="exact"/>
        <w:ind w:firstLine="560"/>
        <w:rPr>
          <w:rFonts w:ascii="仿宋_GB2312" w:eastAsia="仿宋_GB2312" w:cs="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0</w:t>
      </w:r>
      <w:r>
        <w:rPr>
          <w:rFonts w:ascii="仿宋_GB2312" w:eastAsia="仿宋_GB2312" w:cs="仿宋_GB2312"/>
          <w:sz w:val="28"/>
          <w:szCs w:val="28"/>
        </w:rPr>
        <w:t>)</w:t>
      </w:r>
      <w:r>
        <w:rPr>
          <w:rFonts w:ascii="仿宋_GB2312" w:eastAsia="仿宋_GB2312" w:cs="仿宋_GB2312" w:hint="eastAsia"/>
          <w:sz w:val="28"/>
          <w:szCs w:val="28"/>
        </w:rPr>
        <w:t>债务管理最新规定解读与趋势分析</w:t>
      </w:r>
    </w:p>
    <w:p w:rsidR="00EA402D" w:rsidRDefault="00EA402D" w:rsidP="00EA402D">
      <w:pPr>
        <w:spacing w:line="500" w:lineRule="exact"/>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11</w:t>
      </w:r>
      <w:r>
        <w:rPr>
          <w:rFonts w:ascii="仿宋_GB2312" w:eastAsia="仿宋_GB2312" w:cs="仿宋_GB2312"/>
          <w:sz w:val="28"/>
          <w:szCs w:val="28"/>
        </w:rPr>
        <w:t>)</w:t>
      </w:r>
      <w:r>
        <w:rPr>
          <w:rFonts w:ascii="仿宋_GB2312" w:eastAsia="仿宋_GB2312" w:cs="仿宋_GB2312" w:hint="eastAsia"/>
          <w:sz w:val="28"/>
          <w:szCs w:val="28"/>
        </w:rPr>
        <w:t>地方政府一般债券与专项发行管理办法应用情况解析</w:t>
      </w:r>
    </w:p>
    <w:p w:rsidR="00EA402D" w:rsidRDefault="00EA402D" w:rsidP="00EA402D">
      <w:pPr>
        <w:spacing w:line="500" w:lineRule="exact"/>
        <w:ind w:firstLine="560"/>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12</w:t>
      </w:r>
      <w:r>
        <w:rPr>
          <w:rFonts w:ascii="仿宋_GB2312" w:eastAsia="仿宋_GB2312" w:cs="仿宋_GB2312"/>
          <w:sz w:val="28"/>
          <w:szCs w:val="28"/>
        </w:rPr>
        <w:t>)</w:t>
      </w:r>
      <w:r>
        <w:rPr>
          <w:rFonts w:ascii="仿宋_GB2312" w:eastAsia="仿宋_GB2312" w:cs="仿宋_GB2312" w:hint="eastAsia"/>
          <w:sz w:val="28"/>
          <w:szCs w:val="28"/>
        </w:rPr>
        <w:t>地方政府一般债务与专项债务预算管理办法应用情况解析</w:t>
      </w:r>
    </w:p>
    <w:p w:rsidR="00EA402D" w:rsidRDefault="00EA402D" w:rsidP="00EA402D">
      <w:pPr>
        <w:spacing w:line="500" w:lineRule="exact"/>
        <w:ind w:firstLine="560"/>
        <w:rPr>
          <w:rFonts w:ascii="仿宋_GB2312" w:eastAsia="仿宋_GB2312"/>
          <w:b/>
          <w:sz w:val="28"/>
          <w:szCs w:val="28"/>
        </w:rPr>
      </w:pPr>
      <w:r>
        <w:rPr>
          <w:rFonts w:ascii="仿宋_GB2312" w:eastAsia="仿宋_GB2312" w:cs="仿宋_GB2312"/>
          <w:sz w:val="28"/>
          <w:szCs w:val="28"/>
        </w:rPr>
        <w:t>(</w:t>
      </w:r>
      <w:r>
        <w:rPr>
          <w:rFonts w:ascii="仿宋_GB2312" w:eastAsia="仿宋_GB2312" w:cs="仿宋_GB2312" w:hint="eastAsia"/>
          <w:sz w:val="28"/>
          <w:szCs w:val="28"/>
        </w:rPr>
        <w:t>13</w:t>
      </w:r>
      <w:r>
        <w:rPr>
          <w:rFonts w:ascii="仿宋_GB2312" w:eastAsia="仿宋_GB2312" w:cs="仿宋_GB2312"/>
          <w:sz w:val="28"/>
          <w:szCs w:val="28"/>
        </w:rPr>
        <w:t>)</w:t>
      </w:r>
      <w:r>
        <w:rPr>
          <w:rFonts w:ascii="仿宋_GB2312" w:eastAsia="仿宋_GB2312" w:cs="仿宋_GB2312" w:hint="eastAsia"/>
          <w:sz w:val="28"/>
          <w:szCs w:val="28"/>
        </w:rPr>
        <w:t>政府债务监督与违法违规举债担保行为</w:t>
      </w:r>
    </w:p>
    <w:p w:rsidR="00EA402D" w:rsidRDefault="00EA402D" w:rsidP="00EA402D">
      <w:pPr>
        <w:tabs>
          <w:tab w:val="left" w:pos="1620"/>
          <w:tab w:val="left" w:pos="1800"/>
        </w:tabs>
        <w:jc w:val="left"/>
        <w:rPr>
          <w:rFonts w:ascii="仿宋_GB2312" w:eastAsia="仿宋_GB2312"/>
          <w:b/>
          <w:sz w:val="28"/>
          <w:szCs w:val="28"/>
        </w:rPr>
      </w:pPr>
      <w:r>
        <w:rPr>
          <w:rFonts w:ascii="仿宋_GB2312" w:eastAsia="仿宋_GB2312" w:hAnsi="Calibri" w:hint="eastAsia"/>
          <w:b/>
          <w:kern w:val="0"/>
          <w:sz w:val="28"/>
          <w:szCs w:val="28"/>
        </w:rPr>
        <w:t>专题三：</w:t>
      </w:r>
      <w:r>
        <w:rPr>
          <w:rFonts w:ascii="仿宋_GB2312" w:eastAsia="仿宋_GB2312" w:hint="eastAsia"/>
          <w:b/>
          <w:sz w:val="28"/>
          <w:szCs w:val="28"/>
        </w:rPr>
        <w:t>医疗卫生系统实施政府会计制度全流程解析与内控信息化实施专题培训班</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课程背景：</w:t>
      </w:r>
      <w:r>
        <w:rPr>
          <w:rFonts w:ascii="仿宋_GB2312" w:eastAsia="仿宋_GB2312" w:cs="仿宋_GB2312"/>
          <w:sz w:val="28"/>
          <w:szCs w:val="28"/>
        </w:rPr>
        <w:t>为了适应权责发生制政府综合财务报告制度改革需要，规范行政事业单位会计核算，提高会计信息质量，根据《中华人民共和国会计法》《中华人民共和国预算法》《政府会计准则</w:t>
      </w:r>
      <w:r>
        <w:rPr>
          <w:rFonts w:ascii="仿宋_GB2312" w:eastAsia="仿宋_GB2312" w:cs="仿宋_GB2312"/>
          <w:sz w:val="28"/>
          <w:szCs w:val="28"/>
        </w:rPr>
        <w:t>——</w:t>
      </w:r>
      <w:r>
        <w:rPr>
          <w:rFonts w:ascii="仿宋_GB2312" w:eastAsia="仿宋_GB2312" w:cs="仿宋_GB2312"/>
          <w:sz w:val="28"/>
          <w:szCs w:val="28"/>
        </w:rPr>
        <w:t>基本准则》等法律、行政法规和规章，</w:t>
      </w:r>
      <w:r>
        <w:rPr>
          <w:rFonts w:ascii="仿宋_GB2312" w:eastAsia="仿宋_GB2312" w:cs="仿宋_GB2312" w:hint="eastAsia"/>
          <w:sz w:val="28"/>
          <w:szCs w:val="28"/>
        </w:rPr>
        <w:t>2017年10月，财政</w:t>
      </w:r>
      <w:r>
        <w:rPr>
          <w:rFonts w:ascii="仿宋_GB2312" w:eastAsia="仿宋_GB2312" w:cs="仿宋_GB2312"/>
          <w:sz w:val="28"/>
          <w:szCs w:val="28"/>
        </w:rPr>
        <w:t>部制定了《政府会计制度</w:t>
      </w:r>
      <w:r>
        <w:rPr>
          <w:rFonts w:ascii="仿宋_GB2312" w:eastAsia="仿宋_GB2312" w:cs="仿宋_GB2312"/>
          <w:sz w:val="28"/>
          <w:szCs w:val="28"/>
        </w:rPr>
        <w:t>——</w:t>
      </w:r>
      <w:r>
        <w:rPr>
          <w:rFonts w:ascii="仿宋_GB2312" w:eastAsia="仿宋_GB2312" w:cs="仿宋_GB2312"/>
          <w:sz w:val="28"/>
          <w:szCs w:val="28"/>
        </w:rPr>
        <w:t>行政事业单位会计科目和报表》，执行</w:t>
      </w:r>
      <w:r>
        <w:rPr>
          <w:rFonts w:ascii="仿宋_GB2312" w:eastAsia="仿宋_GB2312" w:cs="仿宋_GB2312" w:hint="eastAsia"/>
          <w:sz w:val="28"/>
          <w:szCs w:val="28"/>
        </w:rPr>
        <w:t>该</w:t>
      </w:r>
      <w:r>
        <w:rPr>
          <w:rFonts w:ascii="仿宋_GB2312" w:eastAsia="仿宋_GB2312" w:cs="仿宋_GB2312"/>
          <w:sz w:val="28"/>
          <w:szCs w:val="28"/>
        </w:rPr>
        <w:t>制度的单位，不再执行《医院会计制度》《基层医疗卫生机构会计制度》</w:t>
      </w:r>
      <w:r>
        <w:rPr>
          <w:rFonts w:ascii="仿宋_GB2312" w:eastAsia="仿宋_GB2312" w:cs="仿宋_GB2312" w:hint="eastAsia"/>
          <w:sz w:val="28"/>
          <w:szCs w:val="28"/>
        </w:rPr>
        <w:t>等行业会计制度，这对一直实行行业会计制度的医院、基层医疗卫生等相关单位的影响可谓是颠覆性的，考虑其行业业务的特殊性，本课程将邀请行业资深专家和政策制定者亲临授课，从根本处解决学员的困惑。</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课程内容：</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lastRenderedPageBreak/>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bCs/>
          <w:sz w:val="28"/>
          <w:szCs w:val="28"/>
        </w:rPr>
        <w:t>新《政府会计制度》</w:t>
      </w:r>
      <w:r>
        <w:rPr>
          <w:rFonts w:ascii="仿宋_GB2312" w:eastAsia="仿宋_GB2312" w:cs="仿宋_GB2312" w:hint="eastAsia"/>
          <w:sz w:val="28"/>
          <w:szCs w:val="28"/>
        </w:rPr>
        <w:t>解读</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bCs/>
          <w:sz w:val="28"/>
          <w:szCs w:val="28"/>
        </w:rPr>
        <w:t>《政府会计制度》与</w:t>
      </w:r>
      <w:r>
        <w:rPr>
          <w:rFonts w:ascii="仿宋_GB2312" w:eastAsia="仿宋_GB2312" w:cs="仿宋_GB2312"/>
          <w:sz w:val="28"/>
          <w:szCs w:val="28"/>
        </w:rPr>
        <w:t>《医院会计制度》</w:t>
      </w:r>
      <w:r>
        <w:rPr>
          <w:rFonts w:ascii="仿宋_GB2312" w:eastAsia="仿宋_GB2312" w:cs="仿宋_GB2312" w:hint="eastAsia"/>
          <w:sz w:val="28"/>
          <w:szCs w:val="28"/>
        </w:rPr>
        <w:t>对比分析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bCs/>
          <w:sz w:val="28"/>
          <w:szCs w:val="28"/>
        </w:rPr>
        <w:t>《政府会计制度》与</w:t>
      </w:r>
      <w:r>
        <w:rPr>
          <w:rFonts w:ascii="仿宋_GB2312" w:eastAsia="仿宋_GB2312" w:cs="仿宋_GB2312"/>
          <w:sz w:val="28"/>
          <w:szCs w:val="28"/>
        </w:rPr>
        <w:t>《基层医疗卫生机构会计制度》</w:t>
      </w:r>
      <w:r>
        <w:rPr>
          <w:rFonts w:ascii="仿宋_GB2312" w:eastAsia="仿宋_GB2312" w:cs="仿宋_GB2312" w:hint="eastAsia"/>
          <w:sz w:val="28"/>
          <w:szCs w:val="28"/>
        </w:rPr>
        <w:t>对比分析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医院与基层医疗卫生机构会计科目名称和编号及其变动原理</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医院与基层医疗卫生机构会计科目使用说明</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医疗卫生机构报表格式和报表编制说明</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政府会计制度净资产与预算结余核算逻辑及其勾</w:t>
      </w:r>
      <w:proofErr w:type="gramStart"/>
      <w:r>
        <w:rPr>
          <w:rFonts w:ascii="仿宋_GB2312" w:eastAsia="仿宋_GB2312" w:cs="仿宋_GB2312" w:hint="eastAsia"/>
          <w:sz w:val="28"/>
          <w:szCs w:val="28"/>
        </w:rPr>
        <w:t>稽</w:t>
      </w:r>
      <w:proofErr w:type="gramEnd"/>
      <w:r>
        <w:rPr>
          <w:rFonts w:ascii="仿宋_GB2312" w:eastAsia="仿宋_GB2312" w:cs="仿宋_GB2312" w:hint="eastAsia"/>
          <w:sz w:val="28"/>
          <w:szCs w:val="28"/>
        </w:rPr>
        <w:t>关系</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8</w:t>
      </w:r>
      <w:r>
        <w:rPr>
          <w:rFonts w:ascii="仿宋_GB2312" w:eastAsia="仿宋_GB2312" w:cs="仿宋_GB2312"/>
          <w:sz w:val="28"/>
          <w:szCs w:val="28"/>
        </w:rPr>
        <w:t>)</w:t>
      </w:r>
      <w:r>
        <w:rPr>
          <w:rFonts w:ascii="仿宋_GB2312" w:eastAsia="仿宋_GB2312" w:cs="仿宋_GB2312" w:hint="eastAsia"/>
          <w:sz w:val="28"/>
          <w:szCs w:val="28"/>
        </w:rPr>
        <w:t>申领医疗收费票据的有关问题</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9</w:t>
      </w:r>
      <w:r>
        <w:rPr>
          <w:rFonts w:ascii="仿宋_GB2312" w:eastAsia="仿宋_GB2312" w:cs="仿宋_GB2312"/>
          <w:sz w:val="28"/>
          <w:szCs w:val="28"/>
        </w:rPr>
        <w:t>)</w:t>
      </w:r>
      <w:r>
        <w:rPr>
          <w:rFonts w:ascii="仿宋_GB2312" w:eastAsia="仿宋_GB2312" w:cs="仿宋_GB2312" w:hint="eastAsia"/>
          <w:sz w:val="28"/>
          <w:szCs w:val="28"/>
        </w:rPr>
        <w:t>全流程案例解析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10</w:t>
      </w:r>
      <w:r>
        <w:rPr>
          <w:rFonts w:ascii="仿宋_GB2312" w:eastAsia="仿宋_GB2312" w:cs="仿宋_GB2312"/>
          <w:sz w:val="28"/>
          <w:szCs w:val="28"/>
        </w:rPr>
        <w:t>)</w:t>
      </w:r>
      <w:r>
        <w:rPr>
          <w:rFonts w:ascii="仿宋_GB2312" w:eastAsia="仿宋_GB2312" w:cs="仿宋_GB2312" w:hint="eastAsia"/>
          <w:sz w:val="28"/>
          <w:szCs w:val="28"/>
        </w:rPr>
        <w:t>医疗卫生机构内部控制的有效实施</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11</w:t>
      </w:r>
      <w:r>
        <w:rPr>
          <w:rFonts w:ascii="仿宋_GB2312" w:eastAsia="仿宋_GB2312" w:cs="仿宋_GB2312"/>
          <w:sz w:val="28"/>
          <w:szCs w:val="28"/>
        </w:rPr>
        <w:t>)</w:t>
      </w:r>
      <w:r>
        <w:rPr>
          <w:rFonts w:ascii="仿宋_GB2312" w:eastAsia="仿宋_GB2312" w:cs="仿宋_GB2312" w:hint="eastAsia"/>
          <w:sz w:val="28"/>
          <w:szCs w:val="28"/>
        </w:rPr>
        <w:t>医疗卫生机构内部控制基础性评价</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12</w:t>
      </w:r>
      <w:r>
        <w:rPr>
          <w:rFonts w:ascii="仿宋_GB2312" w:eastAsia="仿宋_GB2312" w:cs="仿宋_GB2312"/>
          <w:sz w:val="28"/>
          <w:szCs w:val="28"/>
        </w:rPr>
        <w:t>)</w:t>
      </w:r>
      <w:r>
        <w:rPr>
          <w:rFonts w:ascii="仿宋_GB2312" w:eastAsia="仿宋_GB2312" w:cs="仿宋_GB2312" w:hint="eastAsia"/>
          <w:sz w:val="28"/>
          <w:szCs w:val="28"/>
        </w:rPr>
        <w:t>卫生计生系统内部审计工作规定</w:t>
      </w:r>
    </w:p>
    <w:p w:rsidR="00EA402D" w:rsidRDefault="00EA402D" w:rsidP="00EA402D">
      <w:pPr>
        <w:tabs>
          <w:tab w:val="left" w:pos="1620"/>
          <w:tab w:val="left" w:pos="1800"/>
        </w:tabs>
        <w:spacing w:line="500" w:lineRule="exact"/>
        <w:ind w:firstLine="561"/>
        <w:jc w:val="left"/>
        <w:rPr>
          <w:rFonts w:ascii="仿宋_GB2312" w:eastAsia="仿宋_GB2312" w:cs="仿宋_GB2312"/>
          <w:bCs/>
          <w:sz w:val="28"/>
          <w:szCs w:val="28"/>
        </w:rPr>
      </w:pPr>
      <w:r>
        <w:rPr>
          <w:rFonts w:ascii="仿宋_GB2312" w:eastAsia="仿宋_GB2312" w:cs="仿宋_GB2312"/>
          <w:sz w:val="28"/>
          <w:szCs w:val="28"/>
        </w:rPr>
        <w:t>(</w:t>
      </w:r>
      <w:r>
        <w:rPr>
          <w:rFonts w:ascii="仿宋_GB2312" w:eastAsia="仿宋_GB2312" w:cs="仿宋_GB2312" w:hint="eastAsia"/>
          <w:sz w:val="28"/>
          <w:szCs w:val="28"/>
        </w:rPr>
        <w:t>13</w:t>
      </w:r>
      <w:r>
        <w:rPr>
          <w:rFonts w:ascii="仿宋_GB2312" w:eastAsia="仿宋_GB2312" w:cs="仿宋_GB2312"/>
          <w:sz w:val="28"/>
          <w:szCs w:val="28"/>
        </w:rPr>
        <w:t>)</w:t>
      </w:r>
      <w:r>
        <w:rPr>
          <w:rFonts w:ascii="仿宋_GB2312" w:eastAsia="仿宋_GB2312" w:cs="仿宋_GB2312" w:hint="eastAsia"/>
          <w:sz w:val="28"/>
          <w:szCs w:val="28"/>
        </w:rPr>
        <w:t>新</w:t>
      </w:r>
      <w:r>
        <w:rPr>
          <w:rFonts w:ascii="仿宋_GB2312" w:eastAsia="仿宋_GB2312" w:cs="仿宋_GB2312" w:hint="eastAsia"/>
          <w:bCs/>
          <w:sz w:val="28"/>
          <w:szCs w:val="28"/>
        </w:rPr>
        <w:t>《政府会计制度》对内控信息化的影响</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14</w:t>
      </w:r>
      <w:r>
        <w:rPr>
          <w:rFonts w:ascii="仿宋_GB2312" w:eastAsia="仿宋_GB2312" w:cs="仿宋_GB2312"/>
          <w:sz w:val="28"/>
          <w:szCs w:val="28"/>
        </w:rPr>
        <w:t>)</w:t>
      </w:r>
      <w:r>
        <w:rPr>
          <w:rFonts w:ascii="仿宋_GB2312" w:eastAsia="仿宋_GB2312" w:cs="仿宋_GB2312" w:hint="eastAsia"/>
          <w:sz w:val="28"/>
          <w:szCs w:val="28"/>
        </w:rPr>
        <w:t>内控信息化与财务共享中心价值最大化</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15</w:t>
      </w:r>
      <w:r>
        <w:rPr>
          <w:rFonts w:ascii="仿宋_GB2312" w:eastAsia="仿宋_GB2312" w:cs="仿宋_GB2312"/>
          <w:sz w:val="28"/>
          <w:szCs w:val="28"/>
        </w:rPr>
        <w:t>)</w:t>
      </w:r>
      <w:r>
        <w:rPr>
          <w:rFonts w:ascii="仿宋_GB2312" w:eastAsia="仿宋_GB2312" w:cs="仿宋_GB2312" w:hint="eastAsia"/>
          <w:sz w:val="28"/>
          <w:szCs w:val="28"/>
        </w:rPr>
        <w:t>实例解析</w:t>
      </w:r>
    </w:p>
    <w:p w:rsidR="00EA402D" w:rsidRDefault="00EA402D" w:rsidP="00EA402D">
      <w:pPr>
        <w:tabs>
          <w:tab w:val="left" w:pos="1620"/>
          <w:tab w:val="left" w:pos="1800"/>
        </w:tabs>
        <w:jc w:val="left"/>
        <w:rPr>
          <w:rFonts w:ascii="仿宋_GB2312" w:eastAsia="仿宋_GB2312"/>
          <w:b/>
          <w:sz w:val="28"/>
          <w:szCs w:val="28"/>
        </w:rPr>
      </w:pPr>
      <w:r>
        <w:rPr>
          <w:rFonts w:ascii="仿宋_GB2312" w:eastAsia="仿宋_GB2312" w:hAnsi="Calibri" w:hint="eastAsia"/>
          <w:b/>
          <w:kern w:val="0"/>
          <w:sz w:val="28"/>
          <w:szCs w:val="28"/>
        </w:rPr>
        <w:t>专题四：</w:t>
      </w:r>
      <w:r>
        <w:rPr>
          <w:rFonts w:ascii="仿宋_GB2312" w:eastAsia="仿宋_GB2312" w:hint="eastAsia"/>
          <w:b/>
          <w:sz w:val="28"/>
          <w:szCs w:val="28"/>
        </w:rPr>
        <w:t>教育系统实施政府会计制度详解与基本建设管理及内控实施专题培训班</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课程背景：</w:t>
      </w:r>
      <w:r>
        <w:rPr>
          <w:rFonts w:ascii="仿宋_GB2312" w:eastAsia="仿宋_GB2312" w:cs="仿宋_GB2312"/>
          <w:sz w:val="28"/>
          <w:szCs w:val="28"/>
        </w:rPr>
        <w:t>为了适应权责发生制政府综合财务报告制度改革需要，规范行政事业单位会计核算，提高会计信息质量，根据《中华人民共和国会计法》《中华人民共和国预算法》《政府会计准则</w:t>
      </w:r>
      <w:r>
        <w:rPr>
          <w:rFonts w:ascii="仿宋_GB2312" w:eastAsia="仿宋_GB2312" w:cs="仿宋_GB2312"/>
          <w:sz w:val="28"/>
          <w:szCs w:val="28"/>
        </w:rPr>
        <w:t>——</w:t>
      </w:r>
      <w:r>
        <w:rPr>
          <w:rFonts w:ascii="仿宋_GB2312" w:eastAsia="仿宋_GB2312" w:cs="仿宋_GB2312"/>
          <w:sz w:val="28"/>
          <w:szCs w:val="28"/>
        </w:rPr>
        <w:t>基本准则》等法律、行政法规和规章，</w:t>
      </w:r>
      <w:r>
        <w:rPr>
          <w:rFonts w:ascii="仿宋_GB2312" w:eastAsia="仿宋_GB2312" w:cs="仿宋_GB2312" w:hint="eastAsia"/>
          <w:sz w:val="28"/>
          <w:szCs w:val="28"/>
        </w:rPr>
        <w:t>2017年10月，财政</w:t>
      </w:r>
      <w:r>
        <w:rPr>
          <w:rFonts w:ascii="仿宋_GB2312" w:eastAsia="仿宋_GB2312" w:cs="仿宋_GB2312"/>
          <w:sz w:val="28"/>
          <w:szCs w:val="28"/>
        </w:rPr>
        <w:t>部制定了《政府会计制度</w:t>
      </w:r>
      <w:r>
        <w:rPr>
          <w:rFonts w:ascii="仿宋_GB2312" w:eastAsia="仿宋_GB2312" w:cs="仿宋_GB2312"/>
          <w:sz w:val="28"/>
          <w:szCs w:val="28"/>
        </w:rPr>
        <w:t>——</w:t>
      </w:r>
      <w:r>
        <w:rPr>
          <w:rFonts w:ascii="仿宋_GB2312" w:eastAsia="仿宋_GB2312" w:cs="仿宋_GB2312"/>
          <w:sz w:val="28"/>
          <w:szCs w:val="28"/>
        </w:rPr>
        <w:t>行政事业单位会计科目和报表》，执行</w:t>
      </w:r>
      <w:r>
        <w:rPr>
          <w:rFonts w:ascii="仿宋_GB2312" w:eastAsia="仿宋_GB2312" w:cs="仿宋_GB2312" w:hint="eastAsia"/>
          <w:sz w:val="28"/>
          <w:szCs w:val="28"/>
        </w:rPr>
        <w:t>该</w:t>
      </w:r>
      <w:r>
        <w:rPr>
          <w:rFonts w:ascii="仿宋_GB2312" w:eastAsia="仿宋_GB2312" w:cs="仿宋_GB2312"/>
          <w:sz w:val="28"/>
          <w:szCs w:val="28"/>
        </w:rPr>
        <w:t>制度的单位，不再执行《高等学校会计制度》《中小学校会计制度》</w:t>
      </w:r>
      <w:r>
        <w:rPr>
          <w:rFonts w:ascii="仿宋_GB2312" w:eastAsia="仿宋_GB2312" w:cs="仿宋_GB2312" w:hint="eastAsia"/>
          <w:sz w:val="28"/>
          <w:szCs w:val="28"/>
        </w:rPr>
        <w:t>等行业会计制度，这对一直实行行业会计制度的高等院校、中小学校和相关单位的影响是巨大的，因其行业业务的特殊性，执行中的相关问题和解决办法备受关注，2017年12月教育部印发《</w:t>
      </w:r>
      <w:hyperlink r:id="rId4" w:tgtFrame="http://www.moe.gov.cn/was5/web/_blank" w:history="1">
        <w:r>
          <w:rPr>
            <w:rFonts w:ascii="仿宋_GB2312" w:eastAsia="仿宋_GB2312" w:cs="仿宋_GB2312" w:hint="eastAsia"/>
            <w:sz w:val="28"/>
            <w:szCs w:val="28"/>
          </w:rPr>
          <w:t>教育部关于</w:t>
        </w:r>
        <w:r>
          <w:rPr>
            <w:rFonts w:ascii="仿宋_GB2312" w:eastAsia="仿宋_GB2312" w:cs="仿宋_GB2312" w:hint="eastAsia"/>
            <w:sz w:val="28"/>
            <w:szCs w:val="28"/>
          </w:rPr>
          <w:lastRenderedPageBreak/>
          <w:t>推进直属高等学校内部审计信息化建设的意见</w:t>
        </w:r>
      </w:hyperlink>
      <w:r>
        <w:rPr>
          <w:rFonts w:ascii="仿宋_GB2312" w:eastAsia="仿宋_GB2312" w:cs="仿宋_GB2312" w:hint="eastAsia"/>
          <w:sz w:val="28"/>
          <w:szCs w:val="28"/>
        </w:rPr>
        <w:t>》，对全面提升信息化环境下的教育内部审计能力提出新要求。本课程将邀请政策制定者和行业资深专家亲临授课，从根本处解决学员问题。</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hint="eastAsia"/>
          <w:sz w:val="28"/>
          <w:szCs w:val="28"/>
        </w:rPr>
        <w:t>课程内容：</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bCs/>
          <w:sz w:val="28"/>
          <w:szCs w:val="28"/>
        </w:rPr>
        <w:t>新《政府会计制度》</w:t>
      </w:r>
      <w:r>
        <w:rPr>
          <w:rFonts w:ascii="仿宋_GB2312" w:eastAsia="仿宋_GB2312" w:cs="仿宋_GB2312" w:hint="eastAsia"/>
          <w:sz w:val="28"/>
          <w:szCs w:val="28"/>
        </w:rPr>
        <w:t>解读</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2</w:t>
      </w:r>
      <w:r>
        <w:rPr>
          <w:rFonts w:ascii="仿宋_GB2312" w:eastAsia="仿宋_GB2312" w:cs="仿宋_GB2312"/>
          <w:sz w:val="28"/>
          <w:szCs w:val="28"/>
        </w:rPr>
        <w:t>)</w:t>
      </w:r>
      <w:r>
        <w:rPr>
          <w:rFonts w:ascii="仿宋_GB2312" w:eastAsia="仿宋_GB2312" w:cs="仿宋_GB2312" w:hint="eastAsia"/>
          <w:bCs/>
          <w:sz w:val="28"/>
          <w:szCs w:val="28"/>
        </w:rPr>
        <w:t>《政府会计制度》与</w:t>
      </w:r>
      <w:r>
        <w:rPr>
          <w:rFonts w:ascii="仿宋_GB2312" w:eastAsia="仿宋_GB2312" w:cs="仿宋_GB2312"/>
          <w:sz w:val="28"/>
          <w:szCs w:val="28"/>
        </w:rPr>
        <w:t>《高等学校会计制度》</w:t>
      </w:r>
      <w:r>
        <w:rPr>
          <w:rFonts w:ascii="仿宋_GB2312" w:eastAsia="仿宋_GB2312" w:cs="仿宋_GB2312" w:hint="eastAsia"/>
          <w:sz w:val="28"/>
          <w:szCs w:val="28"/>
        </w:rPr>
        <w:t>对比分析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3</w:t>
      </w:r>
      <w:r>
        <w:rPr>
          <w:rFonts w:ascii="仿宋_GB2312" w:eastAsia="仿宋_GB2312" w:cs="仿宋_GB2312"/>
          <w:sz w:val="28"/>
          <w:szCs w:val="28"/>
        </w:rPr>
        <w:t>)</w:t>
      </w:r>
      <w:r>
        <w:rPr>
          <w:rFonts w:ascii="仿宋_GB2312" w:eastAsia="仿宋_GB2312" w:cs="仿宋_GB2312" w:hint="eastAsia"/>
          <w:bCs/>
          <w:sz w:val="28"/>
          <w:szCs w:val="28"/>
        </w:rPr>
        <w:t>《政府会计制度》与</w:t>
      </w:r>
      <w:r>
        <w:rPr>
          <w:rFonts w:ascii="仿宋_GB2312" w:eastAsia="仿宋_GB2312" w:cs="仿宋_GB2312"/>
          <w:sz w:val="28"/>
          <w:szCs w:val="28"/>
        </w:rPr>
        <w:t>《</w:t>
      </w:r>
      <w:r>
        <w:rPr>
          <w:rFonts w:ascii="仿宋_GB2312" w:eastAsia="仿宋_GB2312" w:cs="仿宋_GB2312" w:hint="eastAsia"/>
          <w:sz w:val="28"/>
          <w:szCs w:val="28"/>
        </w:rPr>
        <w:t>中小</w:t>
      </w:r>
      <w:r>
        <w:rPr>
          <w:rFonts w:ascii="仿宋_GB2312" w:eastAsia="仿宋_GB2312" w:cs="仿宋_GB2312"/>
          <w:sz w:val="28"/>
          <w:szCs w:val="28"/>
        </w:rPr>
        <w:t>学校会计制度》</w:t>
      </w:r>
      <w:r>
        <w:rPr>
          <w:rFonts w:ascii="仿宋_GB2312" w:eastAsia="仿宋_GB2312" w:cs="仿宋_GB2312" w:hint="eastAsia"/>
          <w:sz w:val="28"/>
          <w:szCs w:val="28"/>
        </w:rPr>
        <w:t>对比分析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4</w:t>
      </w:r>
      <w:r>
        <w:rPr>
          <w:rFonts w:ascii="仿宋_GB2312" w:eastAsia="仿宋_GB2312" w:cs="仿宋_GB2312"/>
          <w:sz w:val="28"/>
          <w:szCs w:val="28"/>
        </w:rPr>
        <w:t>)</w:t>
      </w:r>
      <w:r>
        <w:rPr>
          <w:rFonts w:ascii="仿宋_GB2312" w:eastAsia="仿宋_GB2312" w:cs="仿宋_GB2312" w:hint="eastAsia"/>
          <w:sz w:val="28"/>
          <w:szCs w:val="28"/>
        </w:rPr>
        <w:t>高等学校与中小学校会计科目名称和编号及其变动原理</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5</w:t>
      </w:r>
      <w:r>
        <w:rPr>
          <w:rFonts w:ascii="仿宋_GB2312" w:eastAsia="仿宋_GB2312" w:cs="仿宋_GB2312"/>
          <w:sz w:val="28"/>
          <w:szCs w:val="28"/>
        </w:rPr>
        <w:t>)</w:t>
      </w:r>
      <w:r>
        <w:rPr>
          <w:rFonts w:ascii="仿宋_GB2312" w:eastAsia="仿宋_GB2312" w:cs="仿宋_GB2312" w:hint="eastAsia"/>
          <w:sz w:val="28"/>
          <w:szCs w:val="28"/>
        </w:rPr>
        <w:t>高等学校与中小学校会计科目使用说明</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6</w:t>
      </w:r>
      <w:r>
        <w:rPr>
          <w:rFonts w:ascii="仿宋_GB2312" w:eastAsia="仿宋_GB2312" w:cs="仿宋_GB2312"/>
          <w:sz w:val="28"/>
          <w:szCs w:val="28"/>
        </w:rPr>
        <w:t>)</w:t>
      </w:r>
      <w:r>
        <w:rPr>
          <w:rFonts w:ascii="仿宋_GB2312" w:eastAsia="仿宋_GB2312" w:cs="仿宋_GB2312" w:hint="eastAsia"/>
          <w:sz w:val="28"/>
          <w:szCs w:val="28"/>
        </w:rPr>
        <w:t>教育系统报表格式和报表编制说明</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7</w:t>
      </w:r>
      <w:r>
        <w:rPr>
          <w:rFonts w:ascii="仿宋_GB2312" w:eastAsia="仿宋_GB2312" w:cs="仿宋_GB2312"/>
          <w:sz w:val="28"/>
          <w:szCs w:val="28"/>
        </w:rPr>
        <w:t>)</w:t>
      </w:r>
      <w:r>
        <w:rPr>
          <w:rFonts w:ascii="仿宋_GB2312" w:eastAsia="仿宋_GB2312" w:cs="仿宋_GB2312" w:hint="eastAsia"/>
          <w:sz w:val="28"/>
          <w:szCs w:val="28"/>
        </w:rPr>
        <w:t>政府会计制度净资产与预算结余核算逻辑及其勾</w:t>
      </w:r>
      <w:proofErr w:type="gramStart"/>
      <w:r>
        <w:rPr>
          <w:rFonts w:ascii="仿宋_GB2312" w:eastAsia="仿宋_GB2312" w:cs="仿宋_GB2312" w:hint="eastAsia"/>
          <w:sz w:val="28"/>
          <w:szCs w:val="28"/>
        </w:rPr>
        <w:t>稽</w:t>
      </w:r>
      <w:proofErr w:type="gramEnd"/>
      <w:r>
        <w:rPr>
          <w:rFonts w:ascii="仿宋_GB2312" w:eastAsia="仿宋_GB2312" w:cs="仿宋_GB2312" w:hint="eastAsia"/>
          <w:sz w:val="28"/>
          <w:szCs w:val="28"/>
        </w:rPr>
        <w:t>关系</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8</w:t>
      </w:r>
      <w:r>
        <w:rPr>
          <w:rFonts w:ascii="仿宋_GB2312" w:eastAsia="仿宋_GB2312" w:cs="仿宋_GB2312"/>
          <w:sz w:val="28"/>
          <w:szCs w:val="28"/>
        </w:rPr>
        <w:t>)</w:t>
      </w:r>
      <w:r>
        <w:rPr>
          <w:rFonts w:ascii="仿宋_GB2312" w:eastAsia="仿宋_GB2312" w:cs="仿宋_GB2312" w:hint="eastAsia"/>
          <w:sz w:val="28"/>
          <w:szCs w:val="28"/>
        </w:rPr>
        <w:t>《教育部直属高校基本建设管理办法（2017年修订）》的通知解析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9</w:t>
      </w:r>
      <w:r>
        <w:rPr>
          <w:rFonts w:ascii="仿宋_GB2312" w:eastAsia="仿宋_GB2312" w:cs="仿宋_GB2312"/>
          <w:sz w:val="28"/>
          <w:szCs w:val="28"/>
        </w:rPr>
        <w:t>)</w:t>
      </w:r>
      <w:r>
        <w:rPr>
          <w:rFonts w:ascii="仿宋_GB2312" w:eastAsia="仿宋_GB2312" w:cs="仿宋_GB2312" w:hint="eastAsia"/>
          <w:sz w:val="28"/>
          <w:szCs w:val="28"/>
        </w:rPr>
        <w:t>全流程案例解析</w:t>
      </w:r>
    </w:p>
    <w:p w:rsidR="00EA402D" w:rsidRDefault="00EA402D" w:rsidP="00EA402D">
      <w:pPr>
        <w:tabs>
          <w:tab w:val="left" w:pos="1620"/>
          <w:tab w:val="left" w:pos="1800"/>
        </w:tabs>
        <w:spacing w:line="500" w:lineRule="exact"/>
        <w:ind w:firstLine="561"/>
        <w:jc w:val="left"/>
        <w:rPr>
          <w:rFonts w:ascii="仿宋_GB2312" w:eastAsia="仿宋_GB2312" w:cs="仿宋_GB2312"/>
          <w:sz w:val="28"/>
          <w:szCs w:val="28"/>
        </w:rPr>
      </w:pPr>
      <w:r>
        <w:rPr>
          <w:rFonts w:ascii="仿宋_GB2312" w:eastAsia="仿宋_GB2312" w:cs="仿宋_GB2312"/>
          <w:sz w:val="28"/>
          <w:szCs w:val="28"/>
        </w:rPr>
        <w:t>(</w:t>
      </w:r>
      <w:r>
        <w:rPr>
          <w:rFonts w:ascii="仿宋_GB2312" w:eastAsia="仿宋_GB2312" w:cs="仿宋_GB2312" w:hint="eastAsia"/>
          <w:sz w:val="28"/>
          <w:szCs w:val="28"/>
        </w:rPr>
        <w:t>10</w:t>
      </w:r>
      <w:r>
        <w:rPr>
          <w:rFonts w:ascii="仿宋_GB2312" w:eastAsia="仿宋_GB2312" w:cs="仿宋_GB2312"/>
          <w:sz w:val="28"/>
          <w:szCs w:val="28"/>
        </w:rPr>
        <w:t>)</w:t>
      </w:r>
      <w:r>
        <w:rPr>
          <w:rFonts w:ascii="仿宋_GB2312" w:eastAsia="仿宋_GB2312" w:cs="仿宋_GB2312" w:hint="eastAsia"/>
          <w:sz w:val="28"/>
          <w:szCs w:val="28"/>
        </w:rPr>
        <w:t>教育系统内控方案的实施步骤与技巧</w:t>
      </w:r>
    </w:p>
    <w:p w:rsidR="00EA402D" w:rsidRDefault="00EA402D" w:rsidP="00EA402D">
      <w:pPr>
        <w:tabs>
          <w:tab w:val="left" w:pos="1620"/>
          <w:tab w:val="left" w:pos="1800"/>
        </w:tabs>
        <w:spacing w:line="500" w:lineRule="exact"/>
        <w:ind w:firstLine="561"/>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11</w:t>
      </w:r>
      <w:r>
        <w:rPr>
          <w:rFonts w:ascii="仿宋_GB2312" w:eastAsia="仿宋_GB2312" w:cs="仿宋_GB2312"/>
          <w:sz w:val="28"/>
          <w:szCs w:val="28"/>
        </w:rPr>
        <w:t>)</w:t>
      </w:r>
      <w:r>
        <w:rPr>
          <w:rFonts w:ascii="仿宋_GB2312" w:eastAsia="仿宋_GB2312" w:cs="仿宋_GB2312" w:hint="eastAsia"/>
          <w:sz w:val="28"/>
          <w:szCs w:val="28"/>
        </w:rPr>
        <w:t>教育系统内控</w:t>
      </w:r>
      <w:r>
        <w:rPr>
          <w:rFonts w:ascii="仿宋_GB2312" w:eastAsia="仿宋_GB2312" w:hAnsi="宋体" w:hint="eastAsia"/>
          <w:sz w:val="28"/>
          <w:szCs w:val="28"/>
        </w:rPr>
        <w:t>评价和监督技能</w:t>
      </w:r>
    </w:p>
    <w:p w:rsidR="00EA402D" w:rsidRDefault="00EA402D" w:rsidP="00EA402D">
      <w:pPr>
        <w:tabs>
          <w:tab w:val="left" w:pos="1620"/>
          <w:tab w:val="left" w:pos="1800"/>
        </w:tabs>
        <w:spacing w:line="500" w:lineRule="exact"/>
        <w:ind w:firstLine="561"/>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12</w:t>
      </w:r>
      <w:r>
        <w:rPr>
          <w:rFonts w:ascii="仿宋_GB2312" w:eastAsia="仿宋_GB2312" w:cs="仿宋_GB2312"/>
          <w:sz w:val="28"/>
          <w:szCs w:val="28"/>
        </w:rPr>
        <w:t>)</w:t>
      </w:r>
      <w:r>
        <w:rPr>
          <w:rFonts w:ascii="仿宋_GB2312" w:eastAsia="仿宋_GB2312" w:hAnsi="宋体" w:hint="eastAsia"/>
          <w:sz w:val="28"/>
          <w:szCs w:val="28"/>
        </w:rPr>
        <w:t>内部控制的流程化信息化</w:t>
      </w:r>
    </w:p>
    <w:p w:rsidR="00EA402D" w:rsidRDefault="00EA402D" w:rsidP="00EA402D">
      <w:pPr>
        <w:tabs>
          <w:tab w:val="left" w:pos="1620"/>
          <w:tab w:val="left" w:pos="1800"/>
        </w:tabs>
        <w:spacing w:line="500" w:lineRule="exact"/>
        <w:ind w:firstLine="561"/>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13</w:t>
      </w:r>
      <w:r>
        <w:rPr>
          <w:rFonts w:ascii="仿宋_GB2312" w:eastAsia="仿宋_GB2312" w:cs="仿宋_GB2312"/>
          <w:sz w:val="28"/>
          <w:szCs w:val="28"/>
        </w:rPr>
        <w:t>)</w:t>
      </w:r>
      <w:r>
        <w:rPr>
          <w:rFonts w:ascii="仿宋_GB2312" w:eastAsia="仿宋_GB2312" w:hAnsi="宋体" w:hint="eastAsia"/>
          <w:sz w:val="28"/>
          <w:szCs w:val="28"/>
        </w:rPr>
        <w:t>教育系统内部控制报告管理制度与报告撰写</w:t>
      </w:r>
    </w:p>
    <w:p w:rsidR="00EA402D" w:rsidRDefault="00EA402D" w:rsidP="00EA402D">
      <w:pPr>
        <w:tabs>
          <w:tab w:val="left" w:pos="1620"/>
          <w:tab w:val="left" w:pos="1800"/>
        </w:tabs>
        <w:spacing w:line="500" w:lineRule="exact"/>
        <w:ind w:firstLine="561"/>
        <w:jc w:val="left"/>
        <w:rPr>
          <w:rFonts w:ascii="仿宋_GB2312" w:eastAsia="仿宋_GB2312" w:hAnsi="宋体"/>
          <w:sz w:val="28"/>
          <w:szCs w:val="28"/>
        </w:rPr>
      </w:pPr>
      <w:r>
        <w:rPr>
          <w:rFonts w:ascii="仿宋_GB2312" w:eastAsia="仿宋_GB2312" w:cs="仿宋_GB2312"/>
          <w:sz w:val="28"/>
          <w:szCs w:val="28"/>
        </w:rPr>
        <w:t>(</w:t>
      </w:r>
      <w:r>
        <w:rPr>
          <w:rFonts w:ascii="仿宋_GB2312" w:eastAsia="仿宋_GB2312" w:cs="仿宋_GB2312" w:hint="eastAsia"/>
          <w:sz w:val="28"/>
          <w:szCs w:val="28"/>
        </w:rPr>
        <w:t>14</w:t>
      </w:r>
      <w:r>
        <w:rPr>
          <w:rFonts w:ascii="仿宋_GB2312" w:eastAsia="仿宋_GB2312" w:cs="仿宋_GB2312"/>
          <w:sz w:val="28"/>
          <w:szCs w:val="28"/>
        </w:rPr>
        <w:t>)</w:t>
      </w:r>
      <w:r>
        <w:rPr>
          <w:rFonts w:ascii="仿宋_GB2312" w:eastAsia="仿宋_GB2312" w:cs="仿宋_GB2312" w:hint="eastAsia"/>
          <w:sz w:val="28"/>
          <w:szCs w:val="28"/>
        </w:rPr>
        <w:t>《</w:t>
      </w:r>
      <w:hyperlink r:id="rId5" w:tgtFrame="http://www.moe.gov.cn/was5/web/_blank" w:history="1">
        <w:r>
          <w:rPr>
            <w:rFonts w:ascii="仿宋_GB2312" w:eastAsia="仿宋_GB2312" w:cs="仿宋_GB2312" w:hint="eastAsia"/>
            <w:sz w:val="28"/>
            <w:szCs w:val="28"/>
          </w:rPr>
          <w:t>教育部关于推进直属高等学校内部审计信息化建设的意见</w:t>
        </w:r>
      </w:hyperlink>
      <w:r>
        <w:rPr>
          <w:rFonts w:ascii="仿宋_GB2312" w:eastAsia="仿宋_GB2312" w:cs="仿宋_GB2312" w:hint="eastAsia"/>
          <w:sz w:val="28"/>
          <w:szCs w:val="28"/>
        </w:rPr>
        <w:t>》</w:t>
      </w:r>
      <w:r w:rsidRPr="00215104">
        <w:rPr>
          <w:rFonts w:ascii="仿宋_GB2312" w:eastAsia="仿宋_GB2312" w:cs="仿宋_GB2312" w:hint="eastAsia"/>
          <w:spacing w:val="-20"/>
          <w:sz w:val="28"/>
          <w:szCs w:val="28"/>
        </w:rPr>
        <w:t>解读</w:t>
      </w:r>
    </w:p>
    <w:p w:rsidR="00EA402D" w:rsidRDefault="00EA402D" w:rsidP="00EA402D">
      <w:pPr>
        <w:tabs>
          <w:tab w:val="left" w:pos="4820"/>
        </w:tabs>
        <w:spacing w:line="500" w:lineRule="exact"/>
        <w:ind w:firstLine="561"/>
        <w:rPr>
          <w:rFonts w:ascii="仿宋_GB2312" w:eastAsia="仿宋_GB2312"/>
          <w:b/>
          <w:sz w:val="28"/>
          <w:szCs w:val="28"/>
        </w:rPr>
      </w:pPr>
      <w:r>
        <w:rPr>
          <w:rFonts w:ascii="仿宋_GB2312" w:eastAsia="仿宋_GB2312" w:cs="仿宋_GB2312"/>
          <w:sz w:val="28"/>
          <w:szCs w:val="28"/>
        </w:rPr>
        <w:t>(</w:t>
      </w:r>
      <w:r>
        <w:rPr>
          <w:rFonts w:ascii="仿宋_GB2312" w:eastAsia="仿宋_GB2312" w:cs="仿宋_GB2312" w:hint="eastAsia"/>
          <w:sz w:val="28"/>
          <w:szCs w:val="28"/>
        </w:rPr>
        <w:t>15</w:t>
      </w:r>
      <w:r>
        <w:rPr>
          <w:rFonts w:ascii="仿宋_GB2312" w:eastAsia="仿宋_GB2312" w:cs="仿宋_GB2312"/>
          <w:sz w:val="28"/>
          <w:szCs w:val="28"/>
        </w:rPr>
        <w:t>)</w:t>
      </w:r>
      <w:r>
        <w:rPr>
          <w:rFonts w:ascii="仿宋_GB2312" w:eastAsia="仿宋_GB2312" w:cs="仿宋_GB2312" w:hint="eastAsia"/>
          <w:sz w:val="28"/>
          <w:szCs w:val="28"/>
        </w:rPr>
        <w:t>教育系统</w:t>
      </w:r>
      <w:r>
        <w:rPr>
          <w:rFonts w:ascii="仿宋_GB2312" w:eastAsia="仿宋_GB2312" w:hAnsi="宋体" w:hint="eastAsia"/>
          <w:sz w:val="28"/>
          <w:szCs w:val="28"/>
        </w:rPr>
        <w:t>内部审计实务与案例解析</w:t>
      </w:r>
    </w:p>
    <w:p w:rsidR="00ED1531" w:rsidRPr="00EA402D" w:rsidRDefault="00ED1531">
      <w:bookmarkStart w:id="0" w:name="_GoBack"/>
      <w:bookmarkEnd w:id="0"/>
    </w:p>
    <w:sectPr w:rsidR="00ED1531" w:rsidRPr="00EA4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D"/>
    <w:rsid w:val="00145B32"/>
    <w:rsid w:val="00EA402D"/>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FDA32-647D-4245-BCA4-BEA0D13F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40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rcsite/A05/s7501/201801/t20180105_323859.html" TargetMode="External"/><Relationship Id="rId4" Type="http://schemas.openxmlformats.org/officeDocument/2006/relationships/hyperlink" Target="http://www.moe.gov.cn/srcsite/A05/s7501/201801/t20180105_32385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2018-01-28T02:46:00Z</dcterms:created>
  <dcterms:modified xsi:type="dcterms:W3CDTF">2018-01-28T02:47:00Z</dcterms:modified>
</cp:coreProperties>
</file>