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5BD" w:rsidRDefault="00FB65BD" w:rsidP="00FB65BD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:rsidR="00FB65BD" w:rsidRPr="00FB65BD" w:rsidRDefault="00FB65BD" w:rsidP="00FB65BD">
      <w:pPr>
        <w:spacing w:line="460" w:lineRule="exact"/>
        <w:ind w:left="1" w:rightChars="-7" w:right="-15"/>
        <w:jc w:val="center"/>
        <w:rPr>
          <w:rFonts w:ascii="仿宋" w:eastAsia="仿宋" w:hAnsi="仿宋" w:cs="黑体" w:hint="eastAsia"/>
          <w:b/>
          <w:bCs/>
          <w:kern w:val="10"/>
          <w:sz w:val="36"/>
          <w:szCs w:val="36"/>
        </w:rPr>
      </w:pPr>
      <w:r w:rsidRPr="00FB65BD">
        <w:rPr>
          <w:rFonts w:ascii="仿宋" w:eastAsia="仿宋" w:hAnsi="仿宋" w:cs="黑体" w:hint="eastAsia"/>
          <w:b/>
          <w:bCs/>
          <w:kern w:val="10"/>
          <w:sz w:val="36"/>
          <w:szCs w:val="36"/>
        </w:rPr>
        <w:t>专题培训班工作方案</w:t>
      </w:r>
    </w:p>
    <w:p w:rsidR="00FB65BD" w:rsidRDefault="00FB65BD" w:rsidP="00FB65BD">
      <w:pPr>
        <w:spacing w:beforeLines="150" w:before="468"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主办单位：中国总会计师协会</w:t>
      </w:r>
    </w:p>
    <w:p w:rsidR="00FB65BD" w:rsidRDefault="00FB65BD" w:rsidP="00FB65BD">
      <w:pPr>
        <w:spacing w:afterLines="50" w:after="156"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承办单位：《中国总会计师》杂志社</w:t>
      </w:r>
    </w:p>
    <w:p w:rsidR="00FB65BD" w:rsidRDefault="00FB65BD" w:rsidP="00FB65BD">
      <w:pPr>
        <w:widowControl/>
        <w:spacing w:line="44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一、时间地点</w:t>
      </w:r>
    </w:p>
    <w:p w:rsidR="00FB65BD" w:rsidRDefault="00FB65BD" w:rsidP="00FB65BD">
      <w:pPr>
        <w:spacing w:line="460" w:lineRule="exact"/>
        <w:ind w:firstLineChars="200" w:firstLine="640"/>
        <w:rPr>
          <w:rFonts w:ascii="仿宋" w:eastAsia="仿宋" w:hAnsi="仿宋" w:cs="黑体" w:hint="eastAsia"/>
          <w:bCs/>
          <w:kern w:val="10"/>
          <w:sz w:val="32"/>
          <w:szCs w:val="32"/>
        </w:rPr>
      </w:pPr>
      <w:r>
        <w:rPr>
          <w:rFonts w:ascii="仿宋" w:eastAsia="仿宋" w:hAnsi="仿宋" w:cs="黑体" w:hint="eastAsia"/>
          <w:bCs/>
          <w:kern w:val="10"/>
          <w:sz w:val="32"/>
          <w:szCs w:val="32"/>
        </w:rPr>
        <w:t>时间：2017年11月17日—21日</w:t>
      </w:r>
    </w:p>
    <w:p w:rsidR="00FB65BD" w:rsidRDefault="00FB65BD" w:rsidP="00FB65BD">
      <w:pPr>
        <w:spacing w:line="460" w:lineRule="exact"/>
        <w:rPr>
          <w:rFonts w:ascii="仿宋" w:eastAsia="仿宋" w:hAnsi="仿宋" w:cs="黑体" w:hint="eastAsia"/>
          <w:bCs/>
          <w:kern w:val="10"/>
          <w:sz w:val="32"/>
          <w:szCs w:val="32"/>
        </w:rPr>
      </w:pPr>
      <w:r>
        <w:rPr>
          <w:rFonts w:ascii="仿宋" w:eastAsia="仿宋" w:hAnsi="仿宋" w:cs="黑体" w:hint="eastAsia"/>
          <w:bCs/>
          <w:kern w:val="10"/>
          <w:sz w:val="32"/>
          <w:szCs w:val="32"/>
        </w:rPr>
        <w:t xml:space="preserve">    地点：珠海</w:t>
      </w:r>
    </w:p>
    <w:p w:rsidR="00FB65BD" w:rsidRDefault="00FB65BD" w:rsidP="00FB65BD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（培训具体地址开班前一周见报到通知）</w:t>
      </w:r>
    </w:p>
    <w:p w:rsidR="00FB65BD" w:rsidRDefault="00FB65BD" w:rsidP="00FB65BD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</w:p>
    <w:p w:rsidR="00FB65BD" w:rsidRDefault="00FB65BD" w:rsidP="00FB65BD">
      <w:pPr>
        <w:widowControl/>
        <w:spacing w:line="44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二、参会对象</w:t>
      </w:r>
    </w:p>
    <w:p w:rsidR="00FB65BD" w:rsidRDefault="00FB65BD" w:rsidP="00FB65BD">
      <w:pPr>
        <w:spacing w:line="460" w:lineRule="exact"/>
        <w:ind w:firstLineChars="198" w:firstLine="634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企事业单位的负责人、总会计师、财务总监、首席财务官、司库、财务经理、财务主管、会计人员等；税务总监、税务经理等中高级管理人员、税务部门（税务岗位）的专业人员；信息化负责人、人力资源部门负责人 ；投资分析与研究人员等；金融行业金融分析师、风险控制师；大中专院校会计专业教师；财务、税务、法律等中介机构相关人员；管理会计信息化相关应用软件提供机构人员；需要加强会计知识学习和提升的各单位的主要负责人等。</w:t>
      </w:r>
    </w:p>
    <w:p w:rsidR="00FB65BD" w:rsidRDefault="00FB65BD" w:rsidP="00FB65BD">
      <w:pPr>
        <w:spacing w:line="460" w:lineRule="exact"/>
        <w:rPr>
          <w:rFonts w:ascii="仿宋" w:eastAsia="仿宋" w:hAnsi="仿宋" w:cs="仿宋" w:hint="eastAsia"/>
          <w:sz w:val="32"/>
          <w:szCs w:val="32"/>
        </w:rPr>
      </w:pPr>
    </w:p>
    <w:p w:rsidR="00FB65BD" w:rsidRDefault="00FB65BD" w:rsidP="00FB65BD">
      <w:pPr>
        <w:widowControl/>
        <w:spacing w:line="44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三、培训内容</w:t>
      </w:r>
    </w:p>
    <w:p w:rsidR="00FB65BD" w:rsidRDefault="00FB65BD" w:rsidP="00FB65BD">
      <w:pPr>
        <w:spacing w:line="460" w:lineRule="exact"/>
        <w:ind w:firstLineChars="198" w:firstLine="636"/>
        <w:jc w:val="left"/>
        <w:rPr>
          <w:rFonts w:ascii="仿宋" w:eastAsia="仿宋" w:hAnsi="仿宋" w:cs="黑体" w:hint="eastAsia"/>
          <w:b/>
          <w:kern w:val="1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专题一、转型时代的</w:t>
      </w:r>
      <w:r>
        <w:rPr>
          <w:rFonts w:ascii="仿宋" w:eastAsia="仿宋" w:hAnsi="仿宋" w:cs="黑体" w:hint="eastAsia"/>
          <w:b/>
          <w:kern w:val="10"/>
          <w:sz w:val="32"/>
          <w:szCs w:val="32"/>
        </w:rPr>
        <w:t>集团财务管控与优化</w:t>
      </w:r>
    </w:p>
    <w:p w:rsidR="00FB65BD" w:rsidRDefault="00FB65BD" w:rsidP="00FB65BD">
      <w:pPr>
        <w:spacing w:line="460" w:lineRule="exact"/>
        <w:ind w:firstLineChars="198" w:firstLine="634"/>
        <w:jc w:val="left"/>
        <w:rPr>
          <w:rFonts w:ascii="仿宋" w:eastAsia="仿宋" w:hAnsi="仿宋" w:cs="仿宋" w:hint="eastAsia"/>
          <w:sz w:val="32"/>
          <w:szCs w:val="32"/>
          <w:lang w:val="zh-CN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集团财务管控思路与转型方向</w:t>
      </w:r>
    </w:p>
    <w:p w:rsidR="00FB65BD" w:rsidRDefault="00FB65BD" w:rsidP="00FB65BD">
      <w:pPr>
        <w:spacing w:line="4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（二）集团公司治理结构</w:t>
      </w:r>
    </w:p>
    <w:p w:rsidR="00FB65BD" w:rsidRDefault="00FB65BD" w:rsidP="00FB65BD">
      <w:pPr>
        <w:spacing w:line="4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（三）集团财务信息系统</w:t>
      </w:r>
    </w:p>
    <w:p w:rsidR="00FB65BD" w:rsidRDefault="00FB65BD" w:rsidP="00FB65BD">
      <w:pPr>
        <w:spacing w:line="4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（四）集团预算、考核与报告系统</w:t>
      </w:r>
    </w:p>
    <w:p w:rsidR="00FB65BD" w:rsidRDefault="00FB65BD" w:rsidP="00FB65BD">
      <w:pPr>
        <w:spacing w:line="4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（五）集团财务管控</w:t>
      </w:r>
    </w:p>
    <w:p w:rsidR="00FB65BD" w:rsidRDefault="00FB65BD" w:rsidP="00FB65BD">
      <w:pPr>
        <w:spacing w:line="4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（六）集团资金管理模式</w:t>
      </w:r>
    </w:p>
    <w:p w:rsidR="00FB65BD" w:rsidRDefault="00FB65BD" w:rsidP="00FB65BD">
      <w:pPr>
        <w:spacing w:line="4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（七）集团公司内部交易设计</w:t>
      </w:r>
    </w:p>
    <w:p w:rsidR="00FB65BD" w:rsidRDefault="00FB65BD" w:rsidP="00FB65BD">
      <w:pPr>
        <w:spacing w:line="4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（八）集团财务管控体系的实施策略</w:t>
      </w:r>
    </w:p>
    <w:p w:rsidR="00FB65BD" w:rsidRDefault="00FB65BD" w:rsidP="00FB65BD">
      <w:pPr>
        <w:spacing w:line="460" w:lineRule="exact"/>
        <w:ind w:firstLineChars="198" w:firstLine="634"/>
        <w:jc w:val="left"/>
        <w:rPr>
          <w:rFonts w:ascii="仿宋" w:eastAsia="仿宋" w:hAnsi="仿宋" w:cs="仿宋" w:hint="eastAsia"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（九）转型时代下的财务组织职能与角色转换</w:t>
      </w:r>
    </w:p>
    <w:p w:rsidR="00FB65BD" w:rsidRDefault="00FB65BD" w:rsidP="00FB65BD">
      <w:pPr>
        <w:pStyle w:val="a3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 w:hint="eastAsia"/>
          <w:bCs/>
          <w:kern w:val="2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（十）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业财融合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，</w:t>
      </w:r>
      <w:r>
        <w:rPr>
          <w:rFonts w:ascii="仿宋" w:eastAsia="仿宋" w:hAnsi="仿宋" w:cs="仿宋" w:hint="eastAsia"/>
          <w:bCs/>
          <w:kern w:val="2"/>
          <w:sz w:val="32"/>
          <w:szCs w:val="32"/>
        </w:rPr>
        <w:t>从“管控型”走向“价值引领型”</w:t>
      </w:r>
    </w:p>
    <w:p w:rsidR="00FB65BD" w:rsidRDefault="00FB65BD" w:rsidP="00FB65BD">
      <w:pPr>
        <w:spacing w:line="460" w:lineRule="exact"/>
        <w:jc w:val="left"/>
        <w:rPr>
          <w:rFonts w:ascii="仿宋" w:eastAsia="仿宋" w:hAnsi="仿宋" w:cs="仿宋" w:hint="eastAsia"/>
          <w:bCs/>
          <w:sz w:val="32"/>
          <w:szCs w:val="32"/>
        </w:rPr>
      </w:pPr>
    </w:p>
    <w:p w:rsidR="00FB65BD" w:rsidRDefault="00FB65BD" w:rsidP="00FB65BD">
      <w:pPr>
        <w:spacing w:line="460" w:lineRule="exact"/>
        <w:jc w:val="left"/>
        <w:rPr>
          <w:rFonts w:ascii="仿宋" w:eastAsia="仿宋" w:hAnsi="仿宋" w:cs="黑体" w:hint="eastAsia"/>
          <w:bCs/>
          <w:kern w:val="1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专题二、</w:t>
      </w:r>
      <w:r>
        <w:rPr>
          <w:rFonts w:ascii="仿宋" w:eastAsia="仿宋" w:hAnsi="仿宋" w:cs="黑体" w:hint="eastAsia"/>
          <w:b/>
          <w:bCs/>
          <w:kern w:val="10"/>
          <w:sz w:val="32"/>
          <w:szCs w:val="32"/>
        </w:rPr>
        <w:t>集团税务风险管理与税务管理信息化建设</w:t>
      </w:r>
    </w:p>
    <w:p w:rsidR="00FB65BD" w:rsidRDefault="00FB65BD" w:rsidP="00FB65BD">
      <w:pPr>
        <w:spacing w:line="4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黑体" w:hint="eastAsia"/>
          <w:bCs/>
          <w:kern w:val="10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Cs/>
          <w:sz w:val="32"/>
          <w:szCs w:val="32"/>
        </w:rPr>
        <w:t>（一）集团税务风险管理</w:t>
      </w:r>
    </w:p>
    <w:p w:rsidR="00FB65BD" w:rsidRDefault="00FB65BD" w:rsidP="00FB65BD">
      <w:pPr>
        <w:spacing w:line="460" w:lineRule="exact"/>
        <w:ind w:firstLineChars="198" w:firstLine="634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集团税务风险概述、成因分析，后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营改增时代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集团涉税风险，集团税务风险管理热点难点分析，集团税务风险控制机制的建设方案</w:t>
      </w:r>
    </w:p>
    <w:p w:rsidR="00FB65BD" w:rsidRDefault="00FB65BD" w:rsidP="00FB65BD">
      <w:pPr>
        <w:numPr>
          <w:ilvl w:val="0"/>
          <w:numId w:val="1"/>
        </w:numPr>
        <w:spacing w:line="460" w:lineRule="exact"/>
        <w:ind w:firstLineChars="198" w:firstLine="634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税务管理信息化建设</w:t>
      </w:r>
    </w:p>
    <w:p w:rsidR="00FB65BD" w:rsidRDefault="00FB65BD" w:rsidP="00FB65BD">
      <w:pPr>
        <w:spacing w:line="460" w:lineRule="exact"/>
        <w:ind w:firstLineChars="200" w:firstLine="640"/>
        <w:jc w:val="left"/>
        <w:rPr>
          <w:rFonts w:ascii="仿宋" w:eastAsia="仿宋" w:hAnsi="仿宋" w:cs="仿宋" w:hint="eastAsia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税务风险管理信息系统的构建原则、功能设计、关键点，集团税务管理信息化要解决的问题，集团税务管理信息化建设整体思路与方案</w:t>
      </w:r>
    </w:p>
    <w:p w:rsidR="00FB65BD" w:rsidRDefault="00FB65BD" w:rsidP="00FB65BD">
      <w:pPr>
        <w:spacing w:line="460" w:lineRule="exact"/>
        <w:rPr>
          <w:rFonts w:ascii="仿宋_GB2312" w:eastAsia="仿宋_GB2312" w:hAnsi="宋体" w:cs="仿宋" w:hint="eastAsia"/>
          <w:sz w:val="30"/>
          <w:szCs w:val="30"/>
        </w:rPr>
      </w:pPr>
    </w:p>
    <w:p w:rsidR="00FB65BD" w:rsidRDefault="00FB65BD" w:rsidP="00FB65BD">
      <w:pPr>
        <w:widowControl/>
        <w:spacing w:line="44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四、师资力量</w:t>
      </w:r>
    </w:p>
    <w:p w:rsidR="00FB65BD" w:rsidRDefault="00FB65BD" w:rsidP="00FB65BD">
      <w:pPr>
        <w:snapToGrid w:val="0"/>
        <w:spacing w:line="460" w:lineRule="exact"/>
        <w:ind w:firstLineChars="198" w:firstLine="634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政府机关、学院、企业界等具有深厚理论功底和丰富实践经验的专家和教授组成。</w:t>
      </w:r>
    </w:p>
    <w:p w:rsidR="00FB65BD" w:rsidRDefault="00FB65BD" w:rsidP="00FB65BD">
      <w:pPr>
        <w:spacing w:line="460" w:lineRule="exact"/>
        <w:ind w:firstLine="601"/>
        <w:rPr>
          <w:rFonts w:ascii="仿宋" w:eastAsia="仿宋" w:hAnsi="仿宋" w:cs="仿宋" w:hint="eastAsia"/>
          <w:sz w:val="32"/>
          <w:szCs w:val="32"/>
        </w:rPr>
      </w:pPr>
    </w:p>
    <w:p w:rsidR="00FB65BD" w:rsidRDefault="00FB65BD" w:rsidP="00FB65BD">
      <w:pPr>
        <w:widowControl/>
        <w:spacing w:line="44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五、培训费用</w:t>
      </w:r>
    </w:p>
    <w:p w:rsidR="00FB65BD" w:rsidRDefault="00FB65BD" w:rsidP="00FB65BD">
      <w:pPr>
        <w:snapToGrid w:val="0"/>
        <w:spacing w:line="460" w:lineRule="exact"/>
        <w:ind w:firstLineChars="198" w:firstLine="634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收费标准：每期2900元/人(包括专家授课费、资料费、教学场租设备费等)。培训期间用餐和住宿统一安排，费用自理；往返交通等费用自理。</w:t>
      </w:r>
    </w:p>
    <w:p w:rsidR="00FB65BD" w:rsidRDefault="00FB65BD" w:rsidP="00FB65BD">
      <w:pPr>
        <w:spacing w:line="460" w:lineRule="exact"/>
        <w:ind w:firstLine="601"/>
        <w:rPr>
          <w:rFonts w:ascii="仿宋" w:eastAsia="仿宋" w:hAnsi="仿宋" w:cs="仿宋" w:hint="eastAsia"/>
          <w:sz w:val="32"/>
          <w:szCs w:val="32"/>
        </w:rPr>
      </w:pPr>
    </w:p>
    <w:p w:rsidR="00FB65BD" w:rsidRDefault="00FB65BD" w:rsidP="00FB65BD">
      <w:pPr>
        <w:widowControl/>
        <w:spacing w:line="44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六、培训证书</w:t>
      </w:r>
    </w:p>
    <w:p w:rsidR="00FB65BD" w:rsidRDefault="00FB65BD" w:rsidP="00FB65BD">
      <w:pPr>
        <w:snapToGrid w:val="0"/>
        <w:spacing w:line="460" w:lineRule="exact"/>
        <w:ind w:firstLineChars="198" w:firstLine="634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培训班学习期满，完成教学计划规定的全部课程，由中国总会计师协会颁发《培训结业证书》。</w:t>
      </w:r>
    </w:p>
    <w:p w:rsidR="00FB65BD" w:rsidRDefault="00FB65BD" w:rsidP="00FB65BD">
      <w:pPr>
        <w:spacing w:line="460" w:lineRule="exact"/>
        <w:ind w:firstLine="601"/>
        <w:rPr>
          <w:rFonts w:ascii="仿宋" w:eastAsia="仿宋" w:hAnsi="仿宋" w:cs="仿宋" w:hint="eastAsia"/>
          <w:sz w:val="32"/>
          <w:szCs w:val="32"/>
        </w:rPr>
      </w:pPr>
    </w:p>
    <w:p w:rsidR="00FB65BD" w:rsidRDefault="00FB65BD" w:rsidP="00FB65BD">
      <w:pPr>
        <w:widowControl/>
        <w:spacing w:line="440" w:lineRule="exact"/>
        <w:jc w:val="left"/>
        <w:rPr>
          <w:rFonts w:ascii="仿宋_GB2312" w:eastAsia="仿宋_GB2312" w:hAnsi="宋体" w:cs="仿宋" w:hint="eastAsia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七、联系方式</w:t>
      </w:r>
    </w:p>
    <w:p w:rsidR="00FB65BD" w:rsidRDefault="00FB65BD" w:rsidP="00FB65BD">
      <w:pPr>
        <w:snapToGrid w:val="0"/>
        <w:spacing w:line="460" w:lineRule="exact"/>
        <w:ind w:firstLineChars="198" w:firstLine="634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联系人：崔老师          电话：010-63381767</w:t>
      </w:r>
    </w:p>
    <w:p w:rsidR="00ED1531" w:rsidRPr="00FB65BD" w:rsidRDefault="00FB65BD" w:rsidP="00FB65BD">
      <w:pPr>
        <w:snapToGrid w:val="0"/>
        <w:spacing w:line="460" w:lineRule="exact"/>
        <w:ind w:firstLineChars="198" w:firstLine="634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传真：010-63381780      邮箱：cfo@cmcfo.cn</w:t>
      </w:r>
    </w:p>
    <w:sectPr w:rsidR="00ED1531" w:rsidRPr="00FB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78216"/>
    <w:multiLevelType w:val="singleLevel"/>
    <w:tmpl w:val="59B78216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BD"/>
    <w:rsid w:val="00145B32"/>
    <w:rsid w:val="00ED1531"/>
    <w:rsid w:val="00F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659D"/>
  <w15:chartTrackingRefBased/>
  <w15:docId w15:val="{7A60BD2C-3996-435C-8586-1FF3C331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5B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FB6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0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2017-09-15T01:03:00Z</dcterms:created>
  <dcterms:modified xsi:type="dcterms:W3CDTF">2017-09-15T01:05:00Z</dcterms:modified>
</cp:coreProperties>
</file>