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A4" w:rsidRDefault="004922A4" w:rsidP="004922A4">
      <w:pPr>
        <w:pStyle w:val="a3"/>
        <w:spacing w:line="440" w:lineRule="exact"/>
        <w:ind w:rightChars="-159" w:right="-334"/>
        <w:jc w:val="both"/>
        <w:rPr>
          <w:rFonts w:hint="eastAsia"/>
          <w:b/>
          <w:bCs/>
          <w:spacing w:val="8"/>
          <w:sz w:val="30"/>
          <w:szCs w:val="30"/>
        </w:rPr>
      </w:pPr>
      <w:r>
        <w:rPr>
          <w:rFonts w:hint="eastAsia"/>
          <w:b/>
          <w:bCs/>
          <w:spacing w:val="8"/>
          <w:sz w:val="30"/>
          <w:szCs w:val="30"/>
        </w:rPr>
        <w:t>附件一：</w:t>
      </w:r>
    </w:p>
    <w:p w:rsidR="004922A4" w:rsidRPr="00BA553E" w:rsidRDefault="004922A4" w:rsidP="004922A4">
      <w:pPr>
        <w:spacing w:line="400" w:lineRule="exact"/>
        <w:ind w:leftChars="-84" w:left="-176" w:firstLineChars="199" w:firstLine="719"/>
        <w:jc w:val="center"/>
        <w:rPr>
          <w:rFonts w:ascii="楷体_GB2312" w:eastAsia="楷体_GB2312" w:hint="eastAsia"/>
          <w:b/>
          <w:sz w:val="36"/>
          <w:szCs w:val="36"/>
        </w:rPr>
      </w:pPr>
      <w:r w:rsidRPr="00BA553E">
        <w:rPr>
          <w:rFonts w:ascii="楷体_GB2312" w:eastAsia="楷体_GB2312" w:hint="eastAsia"/>
          <w:b/>
          <w:sz w:val="36"/>
          <w:szCs w:val="36"/>
        </w:rPr>
        <w:t>企业所得税汇算清缴与</w:t>
      </w:r>
      <w:r w:rsidRPr="00D749C4">
        <w:rPr>
          <w:rFonts w:ascii="楷体_GB2312" w:eastAsia="楷体_GB2312" w:hint="eastAsia"/>
          <w:b/>
          <w:sz w:val="36"/>
          <w:szCs w:val="36"/>
        </w:rPr>
        <w:t>营业税改征增值税</w:t>
      </w:r>
    </w:p>
    <w:p w:rsidR="004922A4" w:rsidRDefault="004922A4" w:rsidP="004922A4">
      <w:pPr>
        <w:spacing w:line="400" w:lineRule="exact"/>
        <w:ind w:leftChars="-84" w:left="-176" w:firstLineChars="199" w:firstLine="719"/>
        <w:jc w:val="center"/>
        <w:rPr>
          <w:rFonts w:ascii="楷体_GB2312" w:eastAsia="楷体_GB2312" w:hint="eastAsia"/>
          <w:b/>
          <w:sz w:val="36"/>
          <w:szCs w:val="36"/>
        </w:rPr>
      </w:pPr>
      <w:r w:rsidRPr="00BA553E">
        <w:rPr>
          <w:rFonts w:ascii="楷体_GB2312" w:eastAsia="楷体_GB2312" w:hint="eastAsia"/>
          <w:b/>
          <w:sz w:val="36"/>
          <w:szCs w:val="36"/>
        </w:rPr>
        <w:t>及财务报表多维透视</w:t>
      </w:r>
      <w:r>
        <w:rPr>
          <w:rFonts w:ascii="楷体_GB2312" w:eastAsia="楷体_GB2312" w:hint="eastAsia"/>
          <w:b/>
          <w:sz w:val="36"/>
          <w:szCs w:val="36"/>
        </w:rPr>
        <w:t>培</w:t>
      </w:r>
      <w:r w:rsidRPr="00BA553E">
        <w:rPr>
          <w:rFonts w:ascii="楷体_GB2312" w:eastAsia="楷体_GB2312" w:hint="eastAsia"/>
          <w:b/>
          <w:sz w:val="36"/>
          <w:szCs w:val="36"/>
        </w:rPr>
        <w:t>训班具体安排</w:t>
      </w:r>
    </w:p>
    <w:p w:rsidR="004922A4" w:rsidRPr="00BA553E" w:rsidRDefault="004922A4" w:rsidP="004922A4">
      <w:pPr>
        <w:spacing w:line="400" w:lineRule="exact"/>
        <w:ind w:leftChars="-84" w:left="-176" w:firstLineChars="199" w:firstLine="719"/>
        <w:jc w:val="center"/>
        <w:rPr>
          <w:rFonts w:ascii="楷体_GB2312" w:eastAsia="楷体_GB2312" w:hint="eastAsia"/>
          <w:b/>
          <w:sz w:val="36"/>
          <w:szCs w:val="36"/>
        </w:rPr>
      </w:pP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仿宋_GB2312" w:eastAsia="仿宋_GB2312" w:hint="eastAsia"/>
          <w:b/>
          <w:bCs/>
          <w:spacing w:val="8"/>
          <w:sz w:val="32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一、时间、地点 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时间：</w:t>
      </w:r>
      <w:r>
        <w:rPr>
          <w:rFonts w:ascii="仿宋_GB2312" w:eastAsia="仿宋_GB2312" w:cs="仿宋_GB2312"/>
          <w:b/>
          <w:bCs/>
          <w:sz w:val="30"/>
          <w:szCs w:val="30"/>
        </w:rPr>
        <w:t>2013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年12月6</w:t>
      </w:r>
      <w:r>
        <w:rPr>
          <w:rFonts w:ascii="仿宋_GB2312" w:eastAsia="仿宋_GB2312" w:cs="仿宋_GB2312"/>
          <w:b/>
          <w:bCs/>
          <w:sz w:val="30"/>
          <w:szCs w:val="30"/>
        </w:rPr>
        <w:t>-</w:t>
      </w:r>
      <w:r>
        <w:rPr>
          <w:rFonts w:ascii="仿宋_GB2312" w:eastAsia="仿宋_GB2312" w:cs="仿宋_GB2312" w:hint="eastAsia"/>
          <w:b/>
          <w:bCs/>
          <w:sz w:val="30"/>
          <w:szCs w:val="30"/>
        </w:rPr>
        <w:t>12</w:t>
      </w:r>
      <w:r>
        <w:rPr>
          <w:rFonts w:ascii="仿宋_GB2312" w:eastAsia="仿宋_GB2312" w:cs="仿宋_GB2312" w:hint="eastAsia"/>
          <w:b/>
          <w:bCs/>
          <w:spacing w:val="-4"/>
          <w:sz w:val="30"/>
          <w:szCs w:val="30"/>
        </w:rPr>
        <w:t>日</w:t>
      </w:r>
      <w:r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 w:hint="eastAsia"/>
          <w:b/>
          <w:bCs/>
          <w:color w:val="000000"/>
          <w:sz w:val="30"/>
          <w:szCs w:val="30"/>
        </w:rPr>
        <w:t>6日全天报到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）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地点：厦门市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（具</w:t>
      </w:r>
      <w:r>
        <w:rPr>
          <w:rFonts w:ascii="仿宋_GB2312" w:eastAsia="仿宋_GB2312" w:cs="仿宋_GB2312" w:hint="eastAsia"/>
          <w:color w:val="000000"/>
          <w:spacing w:val="-4"/>
          <w:sz w:val="30"/>
          <w:szCs w:val="30"/>
        </w:rPr>
        <w:t>体报到地点开班前一周另行通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知）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 w:hint="eastAsia"/>
          <w:b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二、培训对象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 xml:space="preserve"> 总会计师、财务总监等企事业单位高管层，财务经理、税务主管、财务管理等中层骨干和从事财税工作的业务人员；会计师事务所、税务师事务所等中介机构和其他相关负责人与业务工作去人员。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 w:hint="eastAsia"/>
          <w:b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三、拟邀请专家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 xml:space="preserve"> 财政部、上海国家会计学院等具有深厚理论功底及丰富实践经验的专家、教授。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 w:hint="eastAsia"/>
          <w:b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四、培训内容 </w:t>
      </w:r>
    </w:p>
    <w:p w:rsidR="004922A4" w:rsidRDefault="004922A4" w:rsidP="004922A4">
      <w:pPr>
        <w:spacing w:line="400" w:lineRule="exact"/>
        <w:ind w:leftChars="-84" w:left="-176" w:firstLineChars="199" w:firstLine="597"/>
        <w:rPr>
          <w:rFonts w:ascii="方正黑体简体" w:eastAsia="方正黑体简体" w:hint="eastAsia"/>
          <w:bCs/>
          <w:sz w:val="30"/>
          <w:szCs w:val="30"/>
        </w:rPr>
      </w:pPr>
      <w:r>
        <w:rPr>
          <w:rFonts w:ascii="方正黑体简体" w:eastAsia="方正黑体简体" w:hint="eastAsia"/>
          <w:bCs/>
          <w:sz w:val="30"/>
          <w:szCs w:val="30"/>
        </w:rPr>
        <w:t>（一）2013企业所得税汇算清缴</w:t>
      </w:r>
    </w:p>
    <w:p w:rsidR="004922A4" w:rsidRDefault="004922A4" w:rsidP="004922A4">
      <w:pPr>
        <w:spacing w:line="400" w:lineRule="exact"/>
        <w:ind w:leftChars="-84" w:left="-176" w:firstLineChars="199" w:firstLine="55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1. 企业所得税申报管理</w:t>
      </w:r>
    </w:p>
    <w:p w:rsidR="004922A4" w:rsidRDefault="004922A4" w:rsidP="004922A4">
      <w:pPr>
        <w:spacing w:line="4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2. 企业所得税重点、难点、疑点问题解析</w:t>
      </w:r>
    </w:p>
    <w:p w:rsidR="004922A4" w:rsidRDefault="004922A4" w:rsidP="004922A4">
      <w:pPr>
        <w:spacing w:line="400" w:lineRule="exact"/>
        <w:ind w:leftChars="-84" w:left="-176" w:firstLineChars="199" w:firstLine="55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3. 企业所得税汇算清缴申报实务</w:t>
      </w:r>
    </w:p>
    <w:p w:rsidR="004922A4" w:rsidRDefault="004922A4" w:rsidP="004922A4">
      <w:pPr>
        <w:spacing w:line="400" w:lineRule="exact"/>
        <w:ind w:leftChars="-84" w:left="-176" w:firstLineChars="199" w:firstLine="55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4.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企业所得税优惠与资产损失税前扣除管理</w:t>
      </w:r>
    </w:p>
    <w:p w:rsidR="004922A4" w:rsidRDefault="004922A4" w:rsidP="004922A4">
      <w:pPr>
        <w:spacing w:line="400" w:lineRule="exact"/>
        <w:ind w:leftChars="-84" w:left="-176" w:firstLineChars="199" w:firstLine="55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5. 涉税相关民商法律的适用。</w:t>
      </w:r>
    </w:p>
    <w:p w:rsidR="004922A4" w:rsidRDefault="004922A4" w:rsidP="004922A4">
      <w:pPr>
        <w:spacing w:line="400" w:lineRule="exact"/>
        <w:rPr>
          <w:rFonts w:ascii="方正黑体简体" w:eastAsia="方正黑体简体" w:hint="eastAsia"/>
          <w:bCs/>
          <w:sz w:val="30"/>
          <w:szCs w:val="30"/>
        </w:rPr>
      </w:pPr>
      <w:r>
        <w:rPr>
          <w:rFonts w:ascii="方正黑体简体" w:eastAsia="方正黑体简体" w:hint="eastAsia"/>
          <w:bCs/>
          <w:sz w:val="30"/>
          <w:szCs w:val="30"/>
        </w:rPr>
        <w:t xml:space="preserve">  （二）</w:t>
      </w:r>
      <w:r w:rsidRPr="00277439">
        <w:rPr>
          <w:rFonts w:ascii="方正黑体简体" w:eastAsia="方正黑体简体" w:hint="eastAsia"/>
          <w:bCs/>
          <w:sz w:val="30"/>
          <w:szCs w:val="30"/>
        </w:rPr>
        <w:t>营业税改征增值税</w:t>
      </w:r>
      <w:r>
        <w:rPr>
          <w:rFonts w:ascii="方正黑体简体" w:eastAsia="方正黑体简体" w:hint="eastAsia"/>
          <w:bCs/>
          <w:sz w:val="30"/>
          <w:szCs w:val="30"/>
        </w:rPr>
        <w:t>政策全面解析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仿宋_GB2312" w:eastAsia="仿宋_GB2312" w:hint="eastAsia"/>
          <w:bCs/>
          <w:spacing w:val="-20"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1、</w:t>
      </w:r>
      <w:r>
        <w:rPr>
          <w:rFonts w:ascii="方正黑体简体" w:eastAsia="方正黑体简体" w:hint="eastAsia"/>
          <w:bCs/>
          <w:sz w:val="30"/>
          <w:szCs w:val="30"/>
        </w:rPr>
        <w:t>审时度势：从税制改革看</w:t>
      </w:r>
      <w:r w:rsidRPr="00277439">
        <w:rPr>
          <w:rFonts w:ascii="方正黑体简体" w:eastAsia="方正黑体简体" w:hint="eastAsia"/>
          <w:bCs/>
          <w:sz w:val="30"/>
          <w:szCs w:val="30"/>
        </w:rPr>
        <w:t>营业税改征增值税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（1）减轻税负，结构性减税的重大利好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（2）纷繁复杂，紧紧把握税制构成要素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（3）税收征管，纳税人面临的巨大挑战；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2、</w:t>
      </w:r>
      <w:r>
        <w:rPr>
          <w:rFonts w:ascii="方正黑体简体" w:eastAsia="方正黑体简体" w:hint="eastAsia"/>
          <w:bCs/>
          <w:sz w:val="30"/>
          <w:szCs w:val="30"/>
        </w:rPr>
        <w:t>纷繁复杂：</w:t>
      </w:r>
      <w:r w:rsidRPr="00277439">
        <w:rPr>
          <w:rFonts w:ascii="方正黑体简体" w:eastAsia="方正黑体简体" w:hint="eastAsia"/>
          <w:bCs/>
          <w:sz w:val="30"/>
          <w:szCs w:val="30"/>
        </w:rPr>
        <w:t>营业税改征增值税</w:t>
      </w:r>
      <w:r>
        <w:rPr>
          <w:rFonts w:ascii="方正黑体简体" w:eastAsia="方正黑体简体" w:hint="eastAsia"/>
          <w:bCs/>
          <w:sz w:val="30"/>
          <w:szCs w:val="30"/>
        </w:rPr>
        <w:t>的问题与难点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（1）增值税与营业税的范围区分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（2）增值税与营业税的差异矛盾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（3）营业税改征增值税的难点分析；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 w:hint="eastAsia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3、</w:t>
      </w:r>
      <w:r>
        <w:rPr>
          <w:rFonts w:ascii="方正黑体简体" w:eastAsia="方正黑体简体" w:hint="eastAsia"/>
          <w:bCs/>
          <w:sz w:val="30"/>
          <w:szCs w:val="30"/>
        </w:rPr>
        <w:t>条分缕析：</w:t>
      </w:r>
      <w:r w:rsidRPr="00277439">
        <w:rPr>
          <w:rFonts w:ascii="方正黑体简体" w:eastAsia="方正黑体简体" w:hint="eastAsia"/>
          <w:bCs/>
          <w:sz w:val="30"/>
          <w:szCs w:val="30"/>
        </w:rPr>
        <w:t>营业税改征增值税</w:t>
      </w:r>
      <w:r>
        <w:rPr>
          <w:rFonts w:ascii="方正黑体简体" w:eastAsia="方正黑体简体" w:hint="eastAsia"/>
          <w:bCs/>
          <w:sz w:val="30"/>
          <w:szCs w:val="30"/>
        </w:rPr>
        <w:t>政策设计剖析</w:t>
      </w:r>
    </w:p>
    <w:p w:rsidR="004922A4" w:rsidRDefault="004922A4" w:rsidP="004922A4">
      <w:pPr>
        <w:spacing w:line="400" w:lineRule="exact"/>
        <w:ind w:leftChars="-84" w:left="-176" w:firstLineChars="199" w:firstLine="597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方正黑体简体" w:eastAsia="方正黑体简体" w:hint="eastAsia"/>
          <w:bCs/>
          <w:sz w:val="30"/>
          <w:szCs w:val="30"/>
        </w:rPr>
        <w:t>（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1）借鉴所得税，营改增制度设计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（2）风雨欲来，营改增的点线面体；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lastRenderedPageBreak/>
        <w:t xml:space="preserve">  4、</w:t>
      </w:r>
      <w:r>
        <w:rPr>
          <w:rFonts w:ascii="方正黑体简体" w:eastAsia="方正黑体简体" w:hint="eastAsia"/>
          <w:bCs/>
          <w:sz w:val="30"/>
          <w:szCs w:val="30"/>
        </w:rPr>
        <w:t>独家揭秘：</w:t>
      </w:r>
      <w:r w:rsidRPr="00277439">
        <w:rPr>
          <w:rFonts w:ascii="方正黑体简体" w:eastAsia="方正黑体简体" w:hint="eastAsia"/>
          <w:bCs/>
          <w:sz w:val="30"/>
          <w:szCs w:val="30"/>
        </w:rPr>
        <w:t>营业税改征增值税</w:t>
      </w:r>
      <w:r>
        <w:rPr>
          <w:rFonts w:ascii="方正黑体简体" w:eastAsia="方正黑体简体" w:hint="eastAsia"/>
          <w:bCs/>
          <w:sz w:val="30"/>
          <w:szCs w:val="30"/>
        </w:rPr>
        <w:t>内容盘点剖析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（1）已试点地区营改增方案剖析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（2）营改增对纳税申报的影响；</w:t>
      </w:r>
    </w:p>
    <w:p w:rsidR="004922A4" w:rsidRDefault="004922A4" w:rsidP="004922A4">
      <w:pPr>
        <w:spacing w:line="400" w:lineRule="exact"/>
        <w:ind w:leftChars="-84" w:left="-176" w:firstLineChars="298" w:firstLine="897"/>
        <w:rPr>
          <w:rFonts w:ascii="方正黑体简体" w:eastAsia="方正黑体简体" w:hint="eastAsia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>5、</w:t>
      </w:r>
      <w:r>
        <w:rPr>
          <w:rFonts w:ascii="方正黑体简体" w:eastAsia="方正黑体简体" w:hint="eastAsia"/>
          <w:bCs/>
          <w:sz w:val="30"/>
          <w:szCs w:val="30"/>
        </w:rPr>
        <w:t>未雨绸缪：企业如何应对</w:t>
      </w:r>
      <w:r w:rsidRPr="00277439">
        <w:rPr>
          <w:rFonts w:ascii="方正黑体简体" w:eastAsia="方正黑体简体" w:hint="eastAsia"/>
          <w:bCs/>
          <w:sz w:val="30"/>
          <w:szCs w:val="30"/>
        </w:rPr>
        <w:t>营业税改征增值税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（1）各种资产购进及处理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（2）各种产品销售及处理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（3）视同销售与计税价格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（4）增值税优惠与价外费用。</w:t>
      </w:r>
    </w:p>
    <w:p w:rsidR="004922A4" w:rsidRDefault="004922A4" w:rsidP="004922A4">
      <w:pPr>
        <w:spacing w:line="400" w:lineRule="exact"/>
        <w:ind w:leftChars="-84" w:left="-176" w:firstLineChars="199" w:firstLine="597"/>
        <w:rPr>
          <w:rFonts w:ascii="方正黑体简体" w:eastAsia="方正黑体简体" w:hint="eastAsia"/>
          <w:bCs/>
          <w:sz w:val="30"/>
          <w:szCs w:val="30"/>
        </w:rPr>
      </w:pPr>
      <w:r>
        <w:rPr>
          <w:rFonts w:ascii="方正黑体简体" w:eastAsia="方正黑体简体" w:hint="eastAsia"/>
          <w:bCs/>
          <w:sz w:val="30"/>
          <w:szCs w:val="30"/>
        </w:rPr>
        <w:t>（三）财务报表多维透视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1、</w:t>
      </w:r>
      <w:r>
        <w:rPr>
          <w:rFonts w:ascii="方正黑体简体" w:eastAsia="方正黑体简体"/>
          <w:bCs/>
          <w:sz w:val="30"/>
          <w:szCs w:val="30"/>
        </w:rPr>
        <w:t>透视分析的理论根源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会计准则导致财务报告信息不确定性的分析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2、</w:t>
      </w:r>
      <w:r>
        <w:rPr>
          <w:rFonts w:ascii="方正黑体简体" w:eastAsia="方正黑体简体"/>
          <w:bCs/>
          <w:sz w:val="30"/>
          <w:szCs w:val="30"/>
        </w:rPr>
        <w:t>透视分析的人为根源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报表编制主体的预期分析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宋体" w:hAnsi="宋体"/>
          <w:color w:val="000000"/>
          <w:shd w:val="clear" w:color="auto" w:fill="FFFFFF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3、</w:t>
      </w:r>
      <w:r>
        <w:rPr>
          <w:rFonts w:ascii="方正黑体简体" w:eastAsia="方正黑体简体"/>
          <w:bCs/>
          <w:sz w:val="30"/>
          <w:szCs w:val="30"/>
        </w:rPr>
        <w:t>企业会计准则下的财务报表不确定性认知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资产负债表列报的指导思想与不确定性分析；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</w:t>
      </w:r>
      <w:r>
        <w:rPr>
          <w:rFonts w:ascii="仿宋_GB2312" w:eastAsia="仿宋_GB2312"/>
          <w:bCs/>
          <w:spacing w:val="8"/>
          <w:sz w:val="30"/>
          <w:szCs w:val="30"/>
        </w:rPr>
        <w:t>利润</w:t>
      </w:r>
      <w:proofErr w:type="gramStart"/>
      <w:r>
        <w:rPr>
          <w:rFonts w:ascii="仿宋_GB2312" w:eastAsia="仿宋_GB2312"/>
          <w:bCs/>
          <w:spacing w:val="8"/>
          <w:sz w:val="30"/>
          <w:szCs w:val="30"/>
        </w:rPr>
        <w:t>表项目</w:t>
      </w:r>
      <w:proofErr w:type="gramEnd"/>
      <w:r>
        <w:rPr>
          <w:rFonts w:ascii="仿宋_GB2312" w:eastAsia="仿宋_GB2312"/>
          <w:bCs/>
          <w:spacing w:val="8"/>
          <w:sz w:val="30"/>
          <w:szCs w:val="30"/>
        </w:rPr>
        <w:t>列报的指导思想与不确定性分析；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</w:t>
      </w:r>
      <w:r>
        <w:rPr>
          <w:rFonts w:ascii="仿宋_GB2312" w:eastAsia="仿宋_GB2312"/>
          <w:bCs/>
          <w:spacing w:val="8"/>
          <w:sz w:val="30"/>
          <w:szCs w:val="30"/>
        </w:rPr>
        <w:t>现金流量表作用与不确定性分析；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（4）</w:t>
      </w:r>
      <w:r>
        <w:rPr>
          <w:rFonts w:ascii="仿宋_GB2312" w:eastAsia="仿宋_GB2312"/>
          <w:bCs/>
          <w:spacing w:val="8"/>
          <w:sz w:val="30"/>
          <w:szCs w:val="30"/>
        </w:rPr>
        <w:t>为什么要增加所有者权益变动表？如何认知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；</w:t>
      </w:r>
      <w:r>
        <w:rPr>
          <w:rFonts w:ascii="仿宋_GB2312" w:eastAsia="仿宋_GB2312"/>
          <w:bCs/>
          <w:spacing w:val="8"/>
          <w:sz w:val="30"/>
          <w:szCs w:val="30"/>
        </w:rPr>
        <w:t xml:space="preserve"> 。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4、</w:t>
      </w:r>
      <w:r>
        <w:rPr>
          <w:rFonts w:ascii="方正黑体简体" w:eastAsia="方正黑体简体"/>
          <w:bCs/>
          <w:sz w:val="30"/>
          <w:szCs w:val="30"/>
        </w:rPr>
        <w:t>财务报表透视分析方法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财务报表预期与会计要素运行轨迹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</w:t>
      </w:r>
      <w:r>
        <w:rPr>
          <w:rFonts w:ascii="仿宋_GB2312" w:eastAsia="仿宋_GB2312"/>
          <w:bCs/>
          <w:spacing w:val="8"/>
          <w:sz w:val="30"/>
          <w:szCs w:val="30"/>
        </w:rPr>
        <w:t>财务会计技术手段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</w:t>
      </w:r>
      <w:r>
        <w:rPr>
          <w:rFonts w:ascii="仿宋_GB2312" w:eastAsia="仿宋_GB2312"/>
          <w:bCs/>
          <w:spacing w:val="8"/>
          <w:sz w:val="30"/>
          <w:szCs w:val="30"/>
        </w:rPr>
        <w:t>财务报表透视分析工具（案例）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5、</w:t>
      </w:r>
      <w:r>
        <w:rPr>
          <w:rFonts w:ascii="方正黑体简体" w:eastAsia="方正黑体简体"/>
          <w:bCs/>
          <w:sz w:val="30"/>
          <w:szCs w:val="30"/>
        </w:rPr>
        <w:t>影响财务报表透明度的案例分析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债权人视角下的企业偿债能力分析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</w:t>
      </w:r>
      <w:r>
        <w:rPr>
          <w:rFonts w:ascii="仿宋_GB2312" w:eastAsia="仿宋_GB2312"/>
          <w:bCs/>
          <w:spacing w:val="8"/>
          <w:sz w:val="30"/>
          <w:szCs w:val="30"/>
        </w:rPr>
        <w:t>外部审计视角下的会计舞弊分析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</w:t>
      </w:r>
      <w:r>
        <w:rPr>
          <w:rFonts w:ascii="仿宋_GB2312" w:eastAsia="仿宋_GB2312"/>
          <w:bCs/>
          <w:spacing w:val="8"/>
          <w:sz w:val="30"/>
          <w:szCs w:val="30"/>
        </w:rPr>
        <w:t>内部审计视角下的会计政策与业绩分析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6、</w:t>
      </w:r>
      <w:r>
        <w:rPr>
          <w:rFonts w:ascii="方正黑体简体" w:eastAsia="方正黑体简体"/>
          <w:bCs/>
          <w:sz w:val="30"/>
          <w:szCs w:val="30"/>
        </w:rPr>
        <w:t>资本市场财务分析师视角</w:t>
      </w:r>
      <w:r>
        <w:rPr>
          <w:rFonts w:ascii="方正黑体简体" w:eastAsia="方正黑体简体"/>
          <w:bCs/>
          <w:sz w:val="30"/>
          <w:szCs w:val="30"/>
        </w:rPr>
        <w:t>——</w:t>
      </w:r>
      <w:r>
        <w:rPr>
          <w:rFonts w:ascii="方正黑体简体" w:eastAsia="方正黑体简体"/>
          <w:bCs/>
          <w:sz w:val="30"/>
          <w:szCs w:val="30"/>
        </w:rPr>
        <w:t xml:space="preserve">企业风险、收益和价值创造 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商业模式、管理和财务报表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</w:t>
      </w:r>
      <w:r>
        <w:rPr>
          <w:rFonts w:ascii="仿宋_GB2312" w:eastAsia="仿宋_GB2312"/>
          <w:bCs/>
          <w:spacing w:val="8"/>
          <w:sz w:val="30"/>
          <w:szCs w:val="30"/>
        </w:rPr>
        <w:t>经营风险和财务风险</w:t>
      </w:r>
      <w:r>
        <w:rPr>
          <w:rFonts w:ascii="仿宋_GB2312" w:eastAsia="仿宋_GB2312" w:hint="eastAsia"/>
          <w:bCs/>
          <w:spacing w:val="8"/>
          <w:sz w:val="30"/>
          <w:szCs w:val="30"/>
        </w:rPr>
        <w:t>；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 7、</w:t>
      </w:r>
      <w:r>
        <w:rPr>
          <w:rFonts w:ascii="方正黑体简体" w:eastAsia="方正黑体简体"/>
          <w:bCs/>
          <w:sz w:val="30"/>
          <w:szCs w:val="30"/>
        </w:rPr>
        <w:t>XBRL在财务报表分析中的应用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（1）</w:t>
      </w:r>
      <w:r>
        <w:rPr>
          <w:rFonts w:ascii="仿宋_GB2312" w:eastAsia="仿宋_GB2312"/>
          <w:bCs/>
          <w:spacing w:val="8"/>
          <w:sz w:val="30"/>
          <w:szCs w:val="30"/>
        </w:rPr>
        <w:t>IT环境下财务报表分析的困境与需求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（2）</w:t>
      </w:r>
      <w:r>
        <w:rPr>
          <w:rFonts w:ascii="仿宋_GB2312" w:eastAsia="仿宋_GB2312"/>
          <w:bCs/>
          <w:spacing w:val="8"/>
          <w:sz w:val="30"/>
          <w:szCs w:val="30"/>
        </w:rPr>
        <w:t>基于XBRL的财务报表分析工具的应用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t>（3）</w:t>
      </w:r>
      <w:r>
        <w:rPr>
          <w:rFonts w:ascii="仿宋_GB2312" w:eastAsia="仿宋_GB2312"/>
          <w:bCs/>
          <w:spacing w:val="8"/>
          <w:sz w:val="30"/>
          <w:szCs w:val="30"/>
        </w:rPr>
        <w:t>财务报表分析工具新发展</w:t>
      </w:r>
      <w:r>
        <w:rPr>
          <w:rFonts w:ascii="仿宋_GB2312" w:eastAsia="仿宋_GB2312"/>
          <w:bCs/>
          <w:spacing w:val="8"/>
          <w:sz w:val="30"/>
          <w:szCs w:val="30"/>
        </w:rPr>
        <w:t>——</w:t>
      </w:r>
      <w:r>
        <w:rPr>
          <w:rFonts w:ascii="仿宋_GB2312" w:eastAsia="仿宋_GB2312"/>
          <w:bCs/>
          <w:spacing w:val="8"/>
          <w:sz w:val="30"/>
          <w:szCs w:val="30"/>
        </w:rPr>
        <w:t>XBRL的解决方案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int="eastAsia"/>
          <w:bCs/>
          <w:spacing w:val="8"/>
          <w:sz w:val="30"/>
          <w:szCs w:val="30"/>
        </w:rPr>
      </w:pPr>
      <w:r>
        <w:rPr>
          <w:rFonts w:ascii="仿宋_GB2312" w:eastAsia="仿宋_GB2312" w:hint="eastAsia"/>
          <w:bCs/>
          <w:spacing w:val="8"/>
          <w:sz w:val="30"/>
          <w:szCs w:val="30"/>
        </w:rPr>
        <w:lastRenderedPageBreak/>
        <w:t xml:space="preserve"> 培训学习期满后，统一颁发中国总会计师协会《结业证书》。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 w:hint="eastAsia"/>
          <w:b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 五、收费标准 </w:t>
      </w:r>
    </w:p>
    <w:p w:rsidR="004922A4" w:rsidRDefault="004922A4" w:rsidP="004922A4">
      <w:pPr>
        <w:spacing w:line="380" w:lineRule="exact"/>
        <w:ind w:leftChars="-84" w:left="-176" w:firstLineChars="199" w:firstLine="613"/>
        <w:rPr>
          <w:rFonts w:ascii="仿宋_GB2312" w:eastAsia="仿宋_GB2312"/>
          <w:bCs/>
          <w:spacing w:val="4"/>
          <w:sz w:val="30"/>
          <w:szCs w:val="30"/>
        </w:rPr>
      </w:pPr>
      <w:r>
        <w:rPr>
          <w:rFonts w:ascii="仿宋_GB2312" w:eastAsia="仿宋_GB2312" w:hint="eastAsia"/>
          <w:bCs/>
          <w:spacing w:val="4"/>
          <w:sz w:val="30"/>
          <w:szCs w:val="30"/>
        </w:rPr>
        <w:t xml:space="preserve"> 培训费为</w:t>
      </w:r>
      <w:r>
        <w:rPr>
          <w:rFonts w:ascii="仿宋_GB2312" w:eastAsia="仿宋_GB2312" w:hint="eastAsia"/>
          <w:b/>
          <w:bCs/>
          <w:color w:val="000000"/>
          <w:spacing w:val="4"/>
          <w:sz w:val="30"/>
          <w:szCs w:val="30"/>
        </w:rPr>
        <w:t>2,600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元</w:t>
      </w:r>
      <w:r>
        <w:rPr>
          <w:rFonts w:ascii="仿宋_GB2312" w:eastAsia="仿宋_GB2312" w:hint="eastAsia"/>
          <w:sz w:val="30"/>
          <w:szCs w:val="30"/>
        </w:rPr>
        <w:t>/人</w:t>
      </w:r>
      <w:r>
        <w:rPr>
          <w:rFonts w:ascii="仿宋_GB2312" w:eastAsia="仿宋_GB2312" w:hint="eastAsia"/>
          <w:bCs/>
          <w:spacing w:val="4"/>
          <w:sz w:val="30"/>
          <w:szCs w:val="30"/>
        </w:rPr>
        <w:t>（</w:t>
      </w:r>
      <w:proofErr w:type="gramStart"/>
      <w:r>
        <w:rPr>
          <w:rFonts w:ascii="仿宋_GB2312" w:eastAsia="仿宋_GB2312" w:hint="eastAsia"/>
          <w:bCs/>
          <w:spacing w:val="4"/>
          <w:sz w:val="30"/>
          <w:szCs w:val="30"/>
        </w:rPr>
        <w:t>含资料</w:t>
      </w:r>
      <w:proofErr w:type="gramEnd"/>
      <w:r>
        <w:rPr>
          <w:rFonts w:ascii="仿宋_GB2312" w:eastAsia="仿宋_GB2312" w:hint="eastAsia"/>
          <w:bCs/>
          <w:spacing w:val="4"/>
          <w:sz w:val="30"/>
          <w:szCs w:val="30"/>
        </w:rPr>
        <w:t>费、专家授课费、教学场地设备及培训管理等费用）。食宿统一安排，费用自理；往返交通等费用自理。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 w:hint="eastAsia"/>
          <w:b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 xml:space="preserve">六、报名办法 </w:t>
      </w:r>
    </w:p>
    <w:p w:rsidR="004922A4" w:rsidRDefault="004922A4" w:rsidP="004922A4">
      <w:pPr>
        <w:spacing w:line="400" w:lineRule="exact"/>
        <w:ind w:leftChars="-84" w:left="-176" w:firstLineChars="199" w:firstLine="629"/>
        <w:rPr>
          <w:rFonts w:ascii="仿宋_GB2312" w:eastAsia="仿宋_GB2312" w:hAnsi="宋体" w:hint="eastAsia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0"/>
          <w:szCs w:val="30"/>
        </w:rPr>
        <w:t>请参加人员按要求填写《报名回执表》（附后），报中国总会计师协会培训部或班务组；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我们将按报名先后发《报到通知》。</w:t>
      </w:r>
    </w:p>
    <w:p w:rsidR="004922A4" w:rsidRDefault="004922A4" w:rsidP="004922A4">
      <w:pPr>
        <w:spacing w:line="400" w:lineRule="exact"/>
        <w:ind w:leftChars="-84" w:left="-176" w:firstLineChars="199" w:firstLine="597"/>
        <w:rPr>
          <w:rFonts w:eastAsia="仿宋_GB2312" w:hint="eastAsia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本《通知》文件信息发布见</w:t>
      </w:r>
      <w:r>
        <w:rPr>
          <w:rFonts w:ascii="仿宋_GB2312" w:eastAsia="仿宋_GB2312" w:hint="eastAsia"/>
          <w:bCs/>
          <w:color w:val="000000"/>
          <w:spacing w:val="-2"/>
          <w:sz w:val="30"/>
          <w:szCs w:val="30"/>
        </w:rPr>
        <w:t>中国总会计师协会网站</w:t>
      </w:r>
      <w:hyperlink r:id="rId4" w:history="1">
        <w:r>
          <w:rPr>
            <w:rFonts w:eastAsia="仿宋_GB2312" w:hint="eastAsia"/>
            <w:bCs/>
            <w:color w:val="000000"/>
            <w:spacing w:val="-2"/>
            <w:sz w:val="30"/>
            <w:szCs w:val="30"/>
          </w:rPr>
          <w:t>www.cacfo.com</w:t>
        </w:r>
      </w:hyperlink>
      <w:r>
        <w:rPr>
          <w:rFonts w:eastAsia="仿宋_GB2312" w:hint="eastAsia"/>
          <w:bCs/>
          <w:color w:val="000000"/>
          <w:spacing w:val="-2"/>
          <w:sz w:val="30"/>
          <w:szCs w:val="30"/>
        </w:rPr>
        <w:t>或华夏财金网</w:t>
      </w:r>
      <w:r>
        <w:rPr>
          <w:rFonts w:eastAsia="仿宋_GB2312"/>
          <w:bCs/>
          <w:color w:val="000000"/>
          <w:sz w:val="30"/>
          <w:szCs w:val="30"/>
        </w:rPr>
        <w:t>。</w:t>
      </w:r>
      <w:proofErr w:type="gramStart"/>
      <w:r>
        <w:rPr>
          <w:rFonts w:eastAsia="仿宋_GB2312" w:hint="eastAsia"/>
          <w:bCs/>
          <w:color w:val="000000"/>
          <w:sz w:val="30"/>
          <w:szCs w:val="30"/>
        </w:rPr>
        <w:t>微信公众</w:t>
      </w:r>
      <w:proofErr w:type="gramEnd"/>
      <w:r>
        <w:rPr>
          <w:rFonts w:eastAsia="仿宋_GB2312" w:hint="eastAsia"/>
          <w:bCs/>
          <w:color w:val="000000"/>
          <w:sz w:val="30"/>
          <w:szCs w:val="30"/>
        </w:rPr>
        <w:t>平台</w:t>
      </w:r>
      <w:r>
        <w:rPr>
          <w:rFonts w:eastAsia="仿宋_GB2312" w:hint="eastAsia"/>
          <w:bCs/>
          <w:color w:val="000000"/>
          <w:sz w:val="30"/>
          <w:szCs w:val="30"/>
        </w:rPr>
        <w:t>:hxxy2000</w:t>
      </w:r>
    </w:p>
    <w:p w:rsidR="004922A4" w:rsidRDefault="004922A4" w:rsidP="004922A4">
      <w:pPr>
        <w:spacing w:line="400" w:lineRule="exact"/>
        <w:ind w:leftChars="-84" w:left="-176" w:firstLineChars="199" w:firstLine="599"/>
        <w:rPr>
          <w:rFonts w:ascii="方正黑体简体" w:eastAsia="方正黑体简体"/>
          <w:b/>
          <w:bCs/>
          <w:sz w:val="30"/>
          <w:szCs w:val="30"/>
        </w:rPr>
      </w:pPr>
      <w:r>
        <w:rPr>
          <w:rFonts w:ascii="方正黑体简体" w:eastAsia="方正黑体简体" w:hint="eastAsia"/>
          <w:b/>
          <w:bCs/>
          <w:sz w:val="30"/>
          <w:szCs w:val="30"/>
        </w:rPr>
        <w:t>七、联系方式</w:t>
      </w:r>
    </w:p>
    <w:p w:rsidR="004922A4" w:rsidRDefault="004922A4" w:rsidP="004922A4">
      <w:pPr>
        <w:adjustRightInd w:val="0"/>
        <w:snapToGrid w:val="0"/>
        <w:spacing w:line="400" w:lineRule="exact"/>
        <w:ind w:leftChars="-84" w:left="-176" w:firstLineChars="199" w:firstLine="597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 xml:space="preserve">中国总会计师协会培训部： </w:t>
      </w:r>
    </w:p>
    <w:p w:rsidR="004922A4" w:rsidRDefault="004922A4" w:rsidP="004922A4">
      <w:pPr>
        <w:adjustRightInd w:val="0"/>
        <w:snapToGrid w:val="0"/>
        <w:spacing w:line="400" w:lineRule="exact"/>
        <w:ind w:firstLineChars="150" w:firstLine="450"/>
        <w:jc w:val="lef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姚国贤主任  电话：</w:t>
      </w:r>
      <w:r>
        <w:rPr>
          <w:rFonts w:ascii="仿宋_GB2312" w:eastAsia="仿宋_GB2312" w:hAnsi="宋体" w:hint="eastAsia"/>
          <w:bCs/>
          <w:spacing w:val="20"/>
          <w:sz w:val="30"/>
          <w:szCs w:val="30"/>
        </w:rPr>
        <w:t>010-88191832</w:t>
      </w:r>
    </w:p>
    <w:p w:rsidR="004922A4" w:rsidRDefault="004922A4" w:rsidP="004922A4">
      <w:pPr>
        <w:adjustRightInd w:val="0"/>
        <w:snapToGrid w:val="0"/>
        <w:spacing w:line="400" w:lineRule="exact"/>
        <w:ind w:leftChars="201" w:left="2972" w:hangingChars="850" w:hanging="2550"/>
        <w:jc w:val="left"/>
        <w:rPr>
          <w:rFonts w:ascii="仿宋_GB2312" w:eastAsia="仿宋_GB2312" w:hint="eastAsia"/>
          <w:bCs/>
          <w:spacing w:val="2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课程顾问：</w:t>
      </w:r>
      <w:r>
        <w:rPr>
          <w:rFonts w:ascii="仿宋_GB2312" w:eastAsia="仿宋_GB2312" w:hint="eastAsia"/>
          <w:bCs/>
          <w:sz w:val="30"/>
          <w:szCs w:val="30"/>
        </w:rPr>
        <w:t>王 丹 电 话：</w:t>
      </w:r>
      <w:r w:rsidRPr="00A643D2">
        <w:rPr>
          <w:rFonts w:hint="eastAsia"/>
          <w:bCs/>
          <w:spacing w:val="20"/>
          <w:sz w:val="30"/>
          <w:szCs w:val="30"/>
        </w:rPr>
        <w:t>010-85913279</w:t>
      </w:r>
      <w:r>
        <w:rPr>
          <w:rFonts w:ascii="仿宋_GB2312" w:eastAsia="仿宋_GB2312" w:hint="eastAsia"/>
          <w:bCs/>
          <w:spacing w:val="20"/>
          <w:sz w:val="30"/>
          <w:szCs w:val="30"/>
        </w:rPr>
        <w:t xml:space="preserve">            </w:t>
      </w:r>
    </w:p>
    <w:p w:rsidR="004922A4" w:rsidRDefault="004922A4" w:rsidP="004922A4">
      <w:pPr>
        <w:adjustRightInd w:val="0"/>
        <w:snapToGrid w:val="0"/>
        <w:spacing w:line="400" w:lineRule="exact"/>
        <w:ind w:leftChars="213" w:left="447"/>
        <w:jc w:val="left"/>
        <w:rPr>
          <w:rFonts w:hint="eastAsia"/>
          <w:bCs/>
          <w:spacing w:val="20"/>
          <w:sz w:val="30"/>
          <w:szCs w:val="30"/>
        </w:rPr>
      </w:pPr>
      <w:r>
        <w:rPr>
          <w:rFonts w:hint="eastAsia"/>
          <w:bCs/>
          <w:sz w:val="30"/>
          <w:szCs w:val="30"/>
        </w:rPr>
        <w:t>传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真：</w:t>
      </w:r>
      <w:r>
        <w:rPr>
          <w:rFonts w:hint="eastAsia"/>
          <w:bCs/>
          <w:spacing w:val="20"/>
          <w:sz w:val="30"/>
          <w:szCs w:val="30"/>
        </w:rPr>
        <w:t xml:space="preserve">010-85913281                         </w:t>
      </w:r>
      <w:r>
        <w:rPr>
          <w:rFonts w:ascii="仿宋_GB2312" w:eastAsia="仿宋_GB2312" w:hint="eastAsia"/>
          <w:bCs/>
          <w:sz w:val="30"/>
          <w:szCs w:val="30"/>
        </w:rPr>
        <w:t>手 机</w:t>
      </w:r>
      <w:r>
        <w:rPr>
          <w:rFonts w:hint="eastAsia"/>
          <w:bCs/>
          <w:spacing w:val="20"/>
          <w:sz w:val="30"/>
          <w:szCs w:val="30"/>
        </w:rPr>
        <w:t>：</w:t>
      </w:r>
      <w:r>
        <w:rPr>
          <w:rFonts w:hint="eastAsia"/>
          <w:bCs/>
          <w:spacing w:val="20"/>
          <w:sz w:val="30"/>
          <w:szCs w:val="30"/>
        </w:rPr>
        <w:t>18911280109</w:t>
      </w:r>
    </w:p>
    <w:p w:rsidR="00FC62BA" w:rsidRPr="004922A4" w:rsidRDefault="00FC62BA"/>
    <w:sectPr w:rsidR="00FC62BA" w:rsidRPr="004922A4" w:rsidSect="00FC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2A4"/>
    <w:rsid w:val="004922A4"/>
    <w:rsid w:val="00FC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4922A4"/>
    <w:rPr>
      <w:rFonts w:ascii="仿宋_GB2312" w:eastAsia="仿宋_GB2312"/>
      <w:szCs w:val="24"/>
    </w:rPr>
  </w:style>
  <w:style w:type="paragraph" w:styleId="a3">
    <w:name w:val="Body Text"/>
    <w:basedOn w:val="a"/>
    <w:link w:val="Char"/>
    <w:rsid w:val="004922A4"/>
    <w:pPr>
      <w:jc w:val="right"/>
    </w:pPr>
    <w:rPr>
      <w:rFonts w:ascii="仿宋_GB2312" w:eastAsia="仿宋_GB2312" w:hAnsiTheme="minorHAnsi" w:cstheme="minorBidi"/>
    </w:rPr>
  </w:style>
  <w:style w:type="character" w:customStyle="1" w:styleId="Char1">
    <w:name w:val="正文文本 Char1"/>
    <w:basedOn w:val="a0"/>
    <w:link w:val="a3"/>
    <w:uiPriority w:val="99"/>
    <w:semiHidden/>
    <w:rsid w:val="004922A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cf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1381</Characters>
  <Application>Microsoft Office Word</Application>
  <DocSecurity>0</DocSecurity>
  <Lines>11</Lines>
  <Paragraphs>3</Paragraphs>
  <ScaleCrop>false</ScaleCrop>
  <Company>China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2013-11-21T02:45:00Z</dcterms:created>
  <dcterms:modified xsi:type="dcterms:W3CDTF">2013-11-21T02:47:00Z</dcterms:modified>
</cp:coreProperties>
</file>