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2019全国新闻出版业财务管理与税务筹划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专业能力提升培训班工作方案</w:t>
      </w:r>
    </w:p>
    <w:p>
      <w:pPr>
        <w:spacing w:line="540" w:lineRule="exact"/>
        <w:ind w:firstLine="201" w:firstLineChars="200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>
      <w:pPr>
        <w:spacing w:line="540" w:lineRule="exact"/>
        <w:ind w:firstLine="602" w:firstLineChars="200"/>
        <w:jc w:val="both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主管主办单位：中国总会计师协会</w:t>
      </w:r>
    </w:p>
    <w:p>
      <w:pPr>
        <w:spacing w:line="54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委托承办单位：北京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长训教育科技有限公司</w:t>
      </w:r>
    </w:p>
    <w:p>
      <w:pPr>
        <w:spacing w:line="540" w:lineRule="exact"/>
        <w:ind w:firstLine="602" w:firstLineChars="200"/>
        <w:jc w:val="both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600" w:lineRule="exact"/>
        <w:ind w:left="596"/>
        <w:jc w:val="both"/>
        <w:rPr>
          <w:rFonts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</w:rPr>
        <w:t>一、培训时间、地点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第1期  2019年3月26日—29日（26日报到）  苏州市 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第2期  2019年5月14日—17日（14日报到）  重庆市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第3期  2019年7月16日—19日（16日报到）  大连市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第4期  2019年9月17日—20日（17日报到）  厦门市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第5期  2019年11月15日—18日（15日报到） 昆明市</w:t>
      </w:r>
    </w:p>
    <w:p>
      <w:pPr>
        <w:adjustRightInd w:val="0"/>
        <w:snapToGrid w:val="0"/>
        <w:spacing w:line="60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二、培训师资</w:t>
      </w:r>
    </w:p>
    <w:p>
      <w:pPr>
        <w:adjustRightInd w:val="0"/>
        <w:snapToGrid w:val="0"/>
        <w:spacing w:line="60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财政部、国家税务总局相关专家，国内外著名新闻出版集团中实战经验丰富的总会计师、首席财务官等，中国财政科学研究院、国家会计学院、知名财经高等院校，四大会计师事务所的权威专家和全国会计领军人才等。</w:t>
      </w:r>
    </w:p>
    <w:p>
      <w:pPr>
        <w:adjustRightInd w:val="0"/>
        <w:snapToGrid w:val="0"/>
        <w:spacing w:line="56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三、参训对象</w:t>
      </w:r>
    </w:p>
    <w:p>
      <w:pPr>
        <w:spacing w:line="600" w:lineRule="exact"/>
        <w:ind w:firstLine="597" w:firstLineChars="19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各出版、发行、印刷、报业、广电集团及所属企业财务会计高级管理人员和业务骨干。</w:t>
      </w:r>
    </w:p>
    <w:p>
      <w:pPr>
        <w:adjustRightInd w:val="0"/>
        <w:snapToGrid w:val="0"/>
        <w:spacing w:line="60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培训课程</w:t>
      </w:r>
    </w:p>
    <w:p>
      <w:pPr>
        <w:adjustRightInd w:val="0"/>
        <w:snapToGrid w:val="0"/>
        <w:spacing w:line="56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模块一：新闻出版业经济政策和会计改革发展趋势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2019年新闻出版业经济政策解读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财税体制改革、现代财政制度对新闻出版机构的影响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财务转型：从财务会计到管理会计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新闻出版新业态给企业财务管理带来的挑战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“大智移云”下的会计变革转型</w:t>
      </w:r>
    </w:p>
    <w:p>
      <w:pPr>
        <w:adjustRightInd w:val="0"/>
        <w:snapToGrid w:val="0"/>
        <w:spacing w:line="56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模块二：最新企业会计准则与企业会计制度讲解与应用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第14、16、21、22、23、24、37、42号主要内容精解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其他新发布和修订的企业会计准则解读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新准则实施后管理决策制定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企业会计制度实施要点、难点与案例分析</w:t>
      </w:r>
    </w:p>
    <w:p>
      <w:pPr>
        <w:adjustRightInd w:val="0"/>
        <w:snapToGrid w:val="0"/>
        <w:spacing w:line="52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模块三：新闻出版机构财务管理实务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资本运营与财务战略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全面预算管理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主要会计科目核算实务操作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财务报表编制与分析</w:t>
      </w:r>
    </w:p>
    <w:p>
      <w:pPr>
        <w:adjustRightInd w:val="0"/>
        <w:snapToGrid w:val="0"/>
        <w:spacing w:line="52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模块四：新闻出版机构财务会计热点、难点与案例分析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下属分支机构财务绩效评价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集团公司财务绩效评价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出版企业股改上市财务问题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数字出版与会计核算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财务管理信息化实施框架与实施要点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财务风险预警、防范与化解</w:t>
      </w:r>
    </w:p>
    <w:p>
      <w:pPr>
        <w:adjustRightInd w:val="0"/>
        <w:snapToGrid w:val="0"/>
        <w:spacing w:line="52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模块五：新闻出版机构税务筹划最佳实践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新闻出版业税收政策解析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涉税风险及防范要点提示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电子发票使用推广实践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税收筹划经典案例与深度解析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新收入准则实施后纳税筹划的调整</w:t>
      </w:r>
    </w:p>
    <w:p>
      <w:pPr>
        <w:spacing w:line="520" w:lineRule="exact"/>
        <w:ind w:firstLine="602" w:firstLineChars="200"/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</w:rPr>
        <w:t>模块六：新闻出版机构财会卓越领导力提升专题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财会工作全局思维提升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高效财务管理团队建设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领导力与执行力</w:t>
      </w:r>
    </w:p>
    <w:p>
      <w:pPr>
        <w:spacing w:line="520" w:lineRule="exact"/>
        <w:ind w:firstLine="602" w:firstLineChars="200"/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0"/>
          <w:szCs w:val="30"/>
        </w:rPr>
        <w:t>模块七：业务交流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从业经验交流</w:t>
      </w:r>
    </w:p>
    <w:p>
      <w:pPr>
        <w:spacing w:line="600" w:lineRule="exact"/>
        <w:ind w:firstLine="600" w:firstLineChars="200"/>
        <w:rPr>
          <w:rFonts w:hint="eastAsia" w:ascii="仿宋_GB2312" w:hAnsi="宋体" w:eastAsia="仿宋_GB2312" w:cs="宋体"/>
          <w:color w:val="000000"/>
          <w:sz w:val="30"/>
          <w:szCs w:val="30"/>
        </w:rPr>
      </w:pPr>
      <w:r>
        <w:rPr>
          <w:rFonts w:hint="eastAsia" w:ascii="仿宋_GB2312" w:hAnsi="MS Gothic" w:eastAsia="MS Gothic" w:cs="MS Gothic"/>
          <w:sz w:val="30"/>
          <w:szCs w:val="30"/>
        </w:rPr>
        <w:t>▪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专家及与会代表现场点评</w:t>
      </w:r>
    </w:p>
    <w:p>
      <w:pPr>
        <w:spacing w:line="600" w:lineRule="exact"/>
        <w:ind w:firstLine="599" w:firstLineChars="199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五、培训证书</w:t>
      </w:r>
    </w:p>
    <w:p>
      <w:pPr>
        <w:spacing w:line="600" w:lineRule="exact"/>
        <w:ind w:left="496" w:leftChars="248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培训班学习期满，颁发中国总会计师协会《培训结业证书》。</w:t>
      </w:r>
    </w:p>
    <w:p>
      <w:pPr>
        <w:spacing w:line="600" w:lineRule="exact"/>
        <w:ind w:firstLine="602" w:firstLineChars="200"/>
        <w:rPr>
          <w:rFonts w:ascii="仿宋_GB2312" w:hAnsi="仿宋_GB2312" w:eastAsia="仿宋_GB2312" w:cs="仿宋_GB2312"/>
          <w:b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六、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收费标准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培训费2780元/人；食宿统一安排，费用自理；往返交通及费用由参会单位或个人自行办理。报名人员可在培训班开始前一周将费用汇至委托承办单位账户，并将银行汇款凭证发邮件至会务组，以便开具增值税专用发票。收款单位户名：北京长训教育科技有限公司；开户银行：中国工商银行股份有限公司北京科技园支行；账号：0200 2964 0920 0239 547。培训班也接受现场缴费。</w:t>
      </w:r>
    </w:p>
    <w:p>
      <w:pPr>
        <w:spacing w:line="580" w:lineRule="exact"/>
        <w:ind w:firstLine="599" w:firstLineChars="199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七、报名及联系方式</w:t>
      </w:r>
    </w:p>
    <w:p>
      <w:pPr>
        <w:spacing w:line="580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(一)培训班相关信息和报名表格请见中国总会计师协会网站（http://www.cacfo.com/）培训工作专栏；</w:t>
      </w:r>
    </w:p>
    <w:p>
      <w:pPr>
        <w:spacing w:line="580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(二) 参训学员填写报名回执,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加盖公章，务必于培训班开始前一周发邮件至会务组。收到回执后,会务组将回信确认报名成功。</w:t>
      </w:r>
    </w:p>
    <w:p>
      <w:pPr>
        <w:spacing w:line="580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(三)咨询电话：010-52262775   52262788</w:t>
      </w:r>
    </w:p>
    <w:p>
      <w:pPr>
        <w:spacing w:line="580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13911137571（微信同号）  88191832（中总协培训部）</w:t>
      </w:r>
    </w:p>
    <w:p>
      <w:pPr>
        <w:spacing w:line="580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报名邮箱：3039056115@qq.com</w:t>
      </w:r>
    </w:p>
    <w:p>
      <w:pPr>
        <w:spacing w:line="580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报名传真：010-52262787   52262790</w:t>
      </w:r>
    </w:p>
    <w:p>
      <w:pPr>
        <w:spacing w:line="580" w:lineRule="exact"/>
        <w:ind w:firstLine="597" w:firstLineChars="199"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联 系 人：徐黎明  周正  谢祥龙  桑立强</w:t>
      </w:r>
    </w:p>
    <w:p>
      <w:pPr>
        <w:spacing w:line="560" w:lineRule="exact"/>
        <w:ind w:firstLine="597" w:firstLineChars="199"/>
        <w:jc w:val="both"/>
        <w:rPr>
          <w:rFonts w:hint="eastAsia" w:ascii="宋体" w:hAnsi="宋体" w:cs="宋体"/>
          <w:color w:val="1212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F1A39"/>
    <w:rsid w:val="28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2019-02-12T02:37:00Z</dcterms:created>
  <dc:creator>桑立强</dc:creator>
  <cp:lastModifiedBy>桑立强</cp:lastModifiedBy>
  <dcterms:modified xsi:type="dcterms:W3CDTF">2019-02-12T02:37:47Z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