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附件1：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新时代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行政事业单位财务与管理人员专业能力提升培训班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工作方案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主管主办单位：中国总会计师协会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委托承办单位：北京华夏星源国际文化传播有限公司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培训时间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安排：</w:t>
      </w:r>
    </w:p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2784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296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培训专题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3月15-19日（15日报到）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海南·海口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3月19-23日（19日报到）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海南·海口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pacing w:val="8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3月20-24日（20日报到）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广东·深圳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4月09-13日（09日报到）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广西·桂林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4月11-15日（11日报到）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浙江·杭州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4月15-19日（15日报到）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浙江·杭州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4月16-20日（16日报到）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重庆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5月04-08日（04日报到）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四川·成都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5月09-13日（09日报到）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云南·昆明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5月13-17日（13日报到）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重庆市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5月14-18日（14日报到）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浙江·杭州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6月11-15日（11日报到）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山东·青岛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6月15-19日（15日报到）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6月20-24日（20日报到）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贵州·贵阳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6月22-26日（22日报到）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云南·昆明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1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pacing w:val="8"/>
                <w:sz w:val="24"/>
                <w:szCs w:val="24"/>
                <w:vertAlign w:val="baseline"/>
                <w:lang w:val="en-US" w:eastAsia="zh-CN"/>
              </w:rPr>
              <w:t>专题一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  <w:t>专题一：预算绩效管理与财政支出绩效评价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  <w:t>专题二：政府会计准则（制度）热点难点问题解析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28" w:right="0" w:rightChars="0" w:hanging="1184" w:hanging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  <w:t>专题三：政府会计准则（制度）热点难点问题解析，行政事业单位内部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8"/>
          <w:sz w:val="28"/>
          <w:szCs w:val="28"/>
          <w:lang w:val="en-US" w:eastAsia="zh-CN"/>
        </w:rPr>
        <w:t>控制与运行评价、内部控制报告编报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8"/>
          <w:kern w:val="1"/>
          <w:sz w:val="28"/>
          <w:szCs w:val="28"/>
          <w:lang w:val="en-US" w:eastAsia="zh-CN" w:bidi="ar-SA"/>
        </w:rPr>
        <w:t>专题四：行政事业单位财务人员专业能力提升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8"/>
          <w:kern w:val="1"/>
          <w:sz w:val="28"/>
          <w:szCs w:val="28"/>
          <w:lang w:val="en-US" w:eastAsia="zh-CN" w:bidi="ar-SA"/>
        </w:rPr>
        <w:t>专题五：社保征管改革、个人所得税法实施条例解析与应对技巧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5E6B"/>
    <w:rsid w:val="20E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2019-02-12T06:00:00Z</dcterms:created>
  <dc:creator>桑立强</dc:creator>
  <cp:lastModifiedBy>桑立强</cp:lastModifiedBy>
  <dcterms:modified xsi:type="dcterms:W3CDTF">2019-02-12T06:01:41Z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