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15F" w:rsidRDefault="00C3615F" w:rsidP="00C3615F">
      <w:pPr>
        <w:tabs>
          <w:tab w:val="left" w:pos="4820"/>
        </w:tabs>
        <w:spacing w:line="48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C3615F" w:rsidRDefault="00C3615F" w:rsidP="00C3615F">
      <w:pPr>
        <w:spacing w:line="480" w:lineRule="exact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2017年下半年《转型时代财务人员管理能力提升专题培训班》</w:t>
      </w:r>
    </w:p>
    <w:p w:rsidR="00C3615F" w:rsidRDefault="00C3615F" w:rsidP="00C3615F">
      <w:pPr>
        <w:spacing w:line="48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课程大纲</w:t>
      </w:r>
    </w:p>
    <w:p w:rsidR="00C3615F" w:rsidRDefault="00C3615F" w:rsidP="00C3615F">
      <w:pPr>
        <w:spacing w:beforeLines="30" w:before="93" w:afterLines="30" w:after="93" w:line="480" w:lineRule="exact"/>
        <w:ind w:firstLineChars="147" w:firstLine="413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专题</w:t>
      </w:r>
      <w:proofErr w:type="gramStart"/>
      <w:r>
        <w:rPr>
          <w:rFonts w:ascii="仿宋_GB2312" w:eastAsia="仿宋_GB2312" w:hAnsi="宋体" w:hint="eastAsia"/>
          <w:b/>
          <w:bCs/>
          <w:sz w:val="28"/>
          <w:szCs w:val="28"/>
        </w:rPr>
        <w:t>一</w:t>
      </w:r>
      <w:proofErr w:type="gramEnd"/>
      <w:r>
        <w:rPr>
          <w:rFonts w:ascii="仿宋_GB2312" w:eastAsia="仿宋_GB2312" w:hAnsi="宋体" w:hint="eastAsia"/>
          <w:b/>
          <w:bCs/>
          <w:sz w:val="28"/>
          <w:szCs w:val="28"/>
        </w:rPr>
        <w:t>：转型管理会计背景下全面预算管理实施技巧专题培训班</w:t>
      </w:r>
    </w:p>
    <w:p w:rsidR="00C3615F" w:rsidRDefault="00C3615F" w:rsidP="00C3615F">
      <w:pPr>
        <w:spacing w:line="400" w:lineRule="exact"/>
        <w:ind w:firstLineChars="147" w:firstLine="413"/>
        <w:jc w:val="lef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（一）管理会计是企业战略突围性选择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管理会计与财务管理的区别与联系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国内管理会计的发展历程与趋势解析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管理会计的技能需求与工具应用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财务会计转型管理会计的技能提升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管理会计报告编制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管理会计与企业成长蜕变之路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财务战略与发展战略的统一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战略财务管理目标分析与实施</w:t>
      </w:r>
    </w:p>
    <w:p w:rsidR="00C3615F" w:rsidRDefault="00C3615F" w:rsidP="00C3615F">
      <w:pPr>
        <w:spacing w:line="480" w:lineRule="exact"/>
        <w:ind w:firstLineChars="147" w:firstLine="413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（二）</w:t>
      </w:r>
      <w:r>
        <w:rPr>
          <w:rFonts w:ascii="仿宋_GB2312" w:eastAsia="仿宋_GB2312" w:hAnsi="宋体" w:hint="eastAsia"/>
          <w:b/>
          <w:sz w:val="28"/>
          <w:szCs w:val="28"/>
        </w:rPr>
        <w:t>全面预算的构建与决策支持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预算编制的框架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各预算编制方法的实用性与反作用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关于预算管理的几大误解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全面预算在企业运营过程中的角色定位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三级递进预算目标的确定原则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预算控制体系构建与工具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全面预算、战略目标、年度经营计划的有效结合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关键预算的编制方法及案例分析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预算偏差度的设定与协调</w:t>
      </w:r>
    </w:p>
    <w:p w:rsidR="00C3615F" w:rsidRDefault="00C3615F" w:rsidP="00C3615F">
      <w:pPr>
        <w:spacing w:line="480" w:lineRule="exact"/>
        <w:ind w:firstLineChars="147" w:firstLine="413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（三）</w:t>
      </w:r>
      <w:r>
        <w:rPr>
          <w:rFonts w:ascii="仿宋_GB2312" w:eastAsia="仿宋_GB2312" w:hAnsi="宋体" w:hint="eastAsia"/>
          <w:b/>
          <w:sz w:val="28"/>
          <w:szCs w:val="28"/>
        </w:rPr>
        <w:t>全面预算的过程控制与有效执行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仪表板使用与预算执行情况跟踪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差异分析与预算分析体系的建立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经济波动对预算目标的影响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预算与执行脱节的原因分析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考核管理和激励机制的重要性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绩效考核指标的冲突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不可控因素的应对方法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预算执行中的常见行为剖析与案例分析</w:t>
      </w:r>
    </w:p>
    <w:p w:rsidR="00C3615F" w:rsidRDefault="00C3615F" w:rsidP="00C3615F">
      <w:pPr>
        <w:spacing w:beforeLines="30" w:before="93" w:afterLines="30" w:after="93" w:line="480" w:lineRule="exact"/>
        <w:ind w:firstLineChars="147" w:firstLine="413"/>
        <w:rPr>
          <w:rFonts w:ascii="仿宋_GB2312" w:eastAsia="仿宋_GB2312" w:hint="eastAsia"/>
          <w:b/>
          <w:sz w:val="28"/>
          <w:szCs w:val="28"/>
        </w:rPr>
      </w:pPr>
    </w:p>
    <w:p w:rsidR="00C3615F" w:rsidRDefault="00C3615F" w:rsidP="00C3615F">
      <w:pPr>
        <w:spacing w:beforeLines="30" w:before="93" w:afterLines="30" w:after="93" w:line="480" w:lineRule="exact"/>
        <w:ind w:firstLineChars="147" w:firstLine="413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专题二：基于价值链的全面成本管理专题培训班</w:t>
      </w:r>
    </w:p>
    <w:p w:rsidR="00C3615F" w:rsidRDefault="00C3615F" w:rsidP="00C3615F">
      <w:pPr>
        <w:tabs>
          <w:tab w:val="left" w:pos="1620"/>
          <w:tab w:val="left" w:pos="1800"/>
        </w:tabs>
        <w:spacing w:line="480" w:lineRule="exact"/>
        <w:ind w:firstLineChars="147" w:firstLine="413"/>
        <w:jc w:val="lef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（一）</w:t>
      </w:r>
      <w:proofErr w:type="gramStart"/>
      <w:r>
        <w:rPr>
          <w:rFonts w:ascii="仿宋_GB2312" w:eastAsia="仿宋_GB2312" w:hAnsi="宋体" w:hint="eastAsia"/>
          <w:b/>
          <w:bCs/>
          <w:sz w:val="28"/>
          <w:szCs w:val="28"/>
        </w:rPr>
        <w:t>新成本</w:t>
      </w:r>
      <w:proofErr w:type="gramEnd"/>
      <w:r>
        <w:rPr>
          <w:rFonts w:ascii="仿宋_GB2312" w:eastAsia="仿宋_GB2312" w:hAnsi="宋体" w:hint="eastAsia"/>
          <w:b/>
          <w:bCs/>
          <w:sz w:val="28"/>
          <w:szCs w:val="28"/>
        </w:rPr>
        <w:t>制度解析与价值</w:t>
      </w:r>
      <w:proofErr w:type="gramStart"/>
      <w:r>
        <w:rPr>
          <w:rFonts w:ascii="仿宋_GB2312" w:eastAsia="仿宋_GB2312" w:hAnsi="宋体" w:hint="eastAsia"/>
          <w:b/>
          <w:bCs/>
          <w:sz w:val="28"/>
          <w:szCs w:val="28"/>
        </w:rPr>
        <w:t>链成本</w:t>
      </w:r>
      <w:proofErr w:type="gramEnd"/>
      <w:r>
        <w:rPr>
          <w:rFonts w:ascii="仿宋_GB2312" w:eastAsia="仿宋_GB2312" w:hAnsi="宋体" w:hint="eastAsia"/>
          <w:b/>
          <w:bCs/>
          <w:sz w:val="28"/>
          <w:szCs w:val="28"/>
        </w:rPr>
        <w:t>管理框架体系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《企业产品成本核算制度（试行）》</w:t>
      </w:r>
      <w:r>
        <w:rPr>
          <w:rFonts w:ascii="仿宋_GB2312" w:eastAsia="仿宋_GB2312" w:hAnsi="宋体" w:hint="eastAsia"/>
          <w:sz w:val="28"/>
          <w:szCs w:val="28"/>
        </w:rPr>
        <w:t>解析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《企业产品成本核算制度（试行）》</w:t>
      </w:r>
      <w:r>
        <w:rPr>
          <w:rFonts w:ascii="仿宋_GB2312" w:eastAsia="仿宋_GB2312" w:hAnsi="宋体" w:hint="eastAsia"/>
          <w:sz w:val="28"/>
          <w:szCs w:val="28"/>
        </w:rPr>
        <w:t>与</w:t>
      </w:r>
      <w:r>
        <w:rPr>
          <w:rFonts w:ascii="仿宋_GB2312" w:eastAsia="仿宋_GB2312" w:hAnsi="宋体"/>
          <w:sz w:val="28"/>
          <w:szCs w:val="28"/>
        </w:rPr>
        <w:t>《国营工业企业成本核算办法》</w:t>
      </w:r>
      <w:r>
        <w:rPr>
          <w:rFonts w:ascii="仿宋_GB2312" w:eastAsia="仿宋_GB2312" w:hAnsi="宋体" w:hint="eastAsia"/>
          <w:sz w:val="28"/>
          <w:szCs w:val="28"/>
        </w:rPr>
        <w:t>调整分析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树立价值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链成本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管理和战略成本管理理念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proofErr w:type="gramStart"/>
      <w:r>
        <w:rPr>
          <w:rFonts w:ascii="仿宋_GB2312" w:eastAsia="仿宋_GB2312" w:hAnsi="宋体" w:hint="eastAsia"/>
          <w:sz w:val="28"/>
          <w:szCs w:val="28"/>
        </w:rPr>
        <w:t>全价值链成本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管理的要点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成本管理系统与多维视觉下的精细化产品成本核算体系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价值链与完全产品成本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价值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链成本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管理的目标与形式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战略成本管理的方法与六个步骤</w:t>
      </w:r>
    </w:p>
    <w:p w:rsidR="00C3615F" w:rsidRDefault="00C3615F" w:rsidP="00C3615F">
      <w:pPr>
        <w:tabs>
          <w:tab w:val="left" w:pos="1620"/>
          <w:tab w:val="left" w:pos="1800"/>
        </w:tabs>
        <w:spacing w:line="480" w:lineRule="exact"/>
        <w:ind w:firstLineChars="147" w:firstLine="413"/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（二）成本目标设定与价值链分析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差异化定位特征构成要素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差异化定位系统图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利润测算与目标成本确定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价值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链构成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与分析步骤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初始成本结构的财务表达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战略成本与运营成本的动因分析</w:t>
      </w:r>
    </w:p>
    <w:p w:rsidR="00C3615F" w:rsidRDefault="00C3615F" w:rsidP="00C3615F">
      <w:pPr>
        <w:tabs>
          <w:tab w:val="left" w:pos="1620"/>
          <w:tab w:val="left" w:pos="1800"/>
        </w:tabs>
        <w:spacing w:line="480" w:lineRule="exact"/>
        <w:ind w:firstLineChars="147" w:firstLine="413"/>
        <w:jc w:val="lef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（三）作业成本法的应用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作业成本法与传统成本方法比较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作业成本法的四个步骤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选择作业成本动因</w:t>
      </w:r>
    </w:p>
    <w:p w:rsidR="00C3615F" w:rsidRDefault="00C3615F" w:rsidP="00C3615F">
      <w:pPr>
        <w:tabs>
          <w:tab w:val="left" w:pos="1620"/>
          <w:tab w:val="left" w:pos="1800"/>
        </w:tabs>
        <w:spacing w:line="480" w:lineRule="exact"/>
        <w:ind w:firstLineChars="147" w:firstLine="413"/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（四）运营和战略维度的成本管理领域</w:t>
      </w:r>
    </w:p>
    <w:p w:rsidR="00C3615F" w:rsidRDefault="00C3615F" w:rsidP="00C3615F">
      <w:pPr>
        <w:tabs>
          <w:tab w:val="left" w:pos="1620"/>
          <w:tab w:val="left" w:pos="1800"/>
        </w:tabs>
        <w:spacing w:line="400" w:lineRule="exact"/>
        <w:ind w:firstLineChars="147" w:firstLine="413"/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（五）建立持续改善流程</w:t>
      </w:r>
    </w:p>
    <w:p w:rsidR="00C3615F" w:rsidRDefault="00C3615F" w:rsidP="00C3615F">
      <w:pPr>
        <w:spacing w:beforeLines="30" w:before="93" w:afterLines="30" w:after="93" w:line="440" w:lineRule="exact"/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专</w:t>
      </w:r>
      <w:r w:rsidRPr="00111832">
        <w:rPr>
          <w:rFonts w:ascii="仿宋_GB2312" w:eastAsia="仿宋_GB2312" w:hint="eastAsia"/>
          <w:b/>
          <w:sz w:val="28"/>
          <w:szCs w:val="28"/>
        </w:rPr>
        <w:t>题三：最新会计准则变动下财务报告分析与风险防范专题培训班</w:t>
      </w:r>
    </w:p>
    <w:p w:rsidR="00C3615F" w:rsidRDefault="00C3615F" w:rsidP="00C3615F">
      <w:pPr>
        <w:spacing w:line="440" w:lineRule="exact"/>
        <w:ind w:leftChars="200" w:left="420"/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（一）财务报告分析与价值创造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会计准则变动最新动态解析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财务报表披露新政策及趋势解析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行业经济特征与财务报告之间的关系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财务分析在企业价值创造中的作用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财务绩效指标的应用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财务报表分析与集团公司管控</w:t>
      </w:r>
    </w:p>
    <w:p w:rsidR="00C3615F" w:rsidRDefault="00C3615F" w:rsidP="00C3615F">
      <w:pPr>
        <w:spacing w:line="370" w:lineRule="exact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（二）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企业基本财务比率分析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短期偿债能力的比率分析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长期偿债能力的比率分析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资产管理能力的比率分析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获利能力的比率分析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收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现能力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的比率分析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市场价值的比率分析</w:t>
      </w:r>
    </w:p>
    <w:p w:rsidR="00C3615F" w:rsidRDefault="00C3615F" w:rsidP="00C3615F">
      <w:pPr>
        <w:spacing w:line="480" w:lineRule="exact"/>
        <w:ind w:leftChars="200" w:left="420"/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（三）财务报表信息质量识别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财务报表粉饰的动机分析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财务报表粉饰的类型及手法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财务报表舞弊风险因素有效性分析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从价值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链角度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解读财务分析与其引导作用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如何通过财务报表透视企业经营管理存在的问题</w:t>
      </w:r>
    </w:p>
    <w:p w:rsidR="00C3615F" w:rsidRDefault="00C3615F" w:rsidP="00C3615F">
      <w:pPr>
        <w:spacing w:line="460" w:lineRule="exact"/>
        <w:ind w:firstLineChars="147" w:firstLine="413"/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（四）通过财务报表分析企业盈利能力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通过关键财务指标分析企业获利能力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负债经营的效率及风险控制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经营利润和股东回报分析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盈利能力与财务比率综合运用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实用案例解析</w:t>
      </w:r>
    </w:p>
    <w:p w:rsidR="00C3615F" w:rsidRDefault="00C3615F" w:rsidP="00C3615F">
      <w:pPr>
        <w:spacing w:beforeLines="30" w:before="93" w:afterLines="30" w:after="93" w:line="400" w:lineRule="exact"/>
        <w:ind w:firstLineChars="147" w:firstLine="413"/>
        <w:rPr>
          <w:rFonts w:ascii="仿宋_GB2312" w:eastAsia="仿宋_GB2312" w:hint="eastAsia"/>
          <w:b/>
          <w:sz w:val="28"/>
          <w:szCs w:val="28"/>
        </w:rPr>
      </w:pPr>
    </w:p>
    <w:p w:rsidR="00C3615F" w:rsidRDefault="00C3615F" w:rsidP="00C3615F">
      <w:pPr>
        <w:spacing w:beforeLines="30" w:before="93" w:afterLines="30" w:after="93" w:line="400" w:lineRule="exact"/>
        <w:ind w:firstLineChars="147" w:firstLine="41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专题四：“互联网+”背景下企业投融资实操专题培训班</w:t>
      </w:r>
    </w:p>
    <w:p w:rsidR="00C3615F" w:rsidRDefault="00C3615F" w:rsidP="00C3615F">
      <w:pPr>
        <w:tabs>
          <w:tab w:val="left" w:pos="1620"/>
          <w:tab w:val="left" w:pos="1800"/>
        </w:tabs>
        <w:spacing w:line="400" w:lineRule="exact"/>
        <w:ind w:firstLineChars="147" w:firstLine="413"/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（一）金融形势与“互联网+”金融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宏观经济与当前中国政经大格局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传统金融与“互联网+”金融解析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互联网金融现有模式与本质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“互联网+”红利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当前金融形势与公司金融的整体框架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金融决策中的风险与收益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公司金融与产业金融运作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权益金融的三大策略命题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权益金融中公司估值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权益金融的资产和业务重组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权益金融的治理结构重组</w:t>
      </w:r>
    </w:p>
    <w:p w:rsidR="00C3615F" w:rsidRDefault="00C3615F" w:rsidP="00C3615F">
      <w:pPr>
        <w:tabs>
          <w:tab w:val="left" w:pos="1620"/>
          <w:tab w:val="left" w:pos="1800"/>
        </w:tabs>
        <w:spacing w:line="480" w:lineRule="exact"/>
        <w:ind w:firstLineChars="147" w:firstLine="413"/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（二）投融资策略设计与实施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现行经济形势下企业投融资风险分析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企业最佳资本结构分析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融资前的需求分析与评估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融资渠道与方法的选择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投融资过程中风险识别与控制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投融资实施阶段常见问题与对策</w:t>
      </w:r>
    </w:p>
    <w:p w:rsidR="00C3615F" w:rsidRDefault="00C3615F" w:rsidP="00C3615F">
      <w:pPr>
        <w:tabs>
          <w:tab w:val="left" w:pos="1620"/>
          <w:tab w:val="left" w:pos="1800"/>
        </w:tabs>
        <w:spacing w:line="480" w:lineRule="exact"/>
        <w:ind w:firstLineChars="147" w:firstLine="413"/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（三）私</w:t>
      </w:r>
      <w:proofErr w:type="gramStart"/>
      <w:r>
        <w:rPr>
          <w:rFonts w:ascii="仿宋_GB2312" w:eastAsia="仿宋_GB2312" w:hAnsi="宋体" w:hint="eastAsia"/>
          <w:b/>
          <w:bCs/>
          <w:sz w:val="28"/>
          <w:szCs w:val="28"/>
        </w:rPr>
        <w:t>募股权</w:t>
      </w:r>
      <w:proofErr w:type="gramEnd"/>
      <w:r>
        <w:rPr>
          <w:rFonts w:ascii="仿宋_GB2312" w:eastAsia="仿宋_GB2312" w:hAnsi="宋体" w:hint="eastAsia"/>
          <w:b/>
          <w:bCs/>
          <w:sz w:val="28"/>
          <w:szCs w:val="28"/>
        </w:rPr>
        <w:t>融资的应用过程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中国风险投资发展与政策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私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募股权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投资者青睐的商业模式和企业要素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与私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募股权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投资方的对接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股权融资的技术问题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企业上市前的财务、税务筹划</w:t>
      </w:r>
    </w:p>
    <w:p w:rsidR="00C3615F" w:rsidRDefault="00C3615F" w:rsidP="00C3615F">
      <w:pPr>
        <w:tabs>
          <w:tab w:val="left" w:pos="1620"/>
          <w:tab w:val="left" w:pos="1800"/>
        </w:tabs>
        <w:spacing w:line="480" w:lineRule="exact"/>
        <w:ind w:firstLineChars="147" w:firstLine="413"/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（四）商业信用融资渠道方式及对比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巧用银行信贷融资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债券市场融资处理方式与要点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票据、担保、金融租赁等商业信用融资</w:t>
      </w:r>
    </w:p>
    <w:p w:rsidR="00C3615F" w:rsidRDefault="00C3615F" w:rsidP="00C3615F">
      <w:pPr>
        <w:spacing w:beforeLines="100" w:before="312" w:afterLines="50" w:after="156" w:line="360" w:lineRule="exact"/>
        <w:ind w:firstLineChars="200" w:firstLine="562"/>
        <w:rPr>
          <w:rFonts w:ascii="仿宋_GB2312" w:eastAsia="仿宋_GB2312" w:hAnsi="Verdana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b/>
          <w:sz w:val="28"/>
          <w:szCs w:val="28"/>
        </w:rPr>
        <w:t>专题五：国企改革背景下企业并购重组实操专题培训班</w:t>
      </w:r>
    </w:p>
    <w:p w:rsidR="00C3615F" w:rsidRDefault="00C3615F" w:rsidP="00C3615F">
      <w:pPr>
        <w:spacing w:line="360" w:lineRule="exact"/>
        <w:ind w:firstLineChars="200" w:firstLine="562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（一）</w:t>
      </w:r>
      <w:r>
        <w:rPr>
          <w:rFonts w:ascii="仿宋_GB2312" w:eastAsia="仿宋_GB2312" w:hAnsi="宋体" w:hint="eastAsia"/>
          <w:b/>
          <w:sz w:val="28"/>
          <w:szCs w:val="28"/>
        </w:rPr>
        <w:t>大型企业集团的组织架构与国际借鉴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发达市场经济国家的集团公司构架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集团组织架构的内涵及其表现形式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集团组织架构的案例分析及建设规则</w:t>
      </w:r>
    </w:p>
    <w:p w:rsidR="00C3615F" w:rsidRDefault="00C3615F" w:rsidP="00C3615F">
      <w:pPr>
        <w:tabs>
          <w:tab w:val="left" w:pos="1620"/>
          <w:tab w:val="left" w:pos="1800"/>
        </w:tabs>
        <w:spacing w:line="36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（二）</w:t>
      </w:r>
      <w:r>
        <w:rPr>
          <w:rFonts w:ascii="仿宋_GB2312" w:eastAsia="仿宋_GB2312" w:hint="eastAsia"/>
          <w:b/>
          <w:sz w:val="28"/>
          <w:szCs w:val="28"/>
        </w:rPr>
        <w:t>并购与重组实务分析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并购与重组的意义及内涵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并购重组对国有企业的战略性提升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企业并购的模式分析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并购重组相关制度安排与应用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并购重组案例分析</w:t>
      </w:r>
    </w:p>
    <w:p w:rsidR="00C3615F" w:rsidRDefault="00C3615F" w:rsidP="00C3615F">
      <w:pPr>
        <w:tabs>
          <w:tab w:val="left" w:pos="1620"/>
          <w:tab w:val="left" w:pos="1800"/>
        </w:tabs>
        <w:spacing w:line="36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（三）</w:t>
      </w:r>
      <w:r>
        <w:rPr>
          <w:rFonts w:ascii="仿宋_GB2312" w:eastAsia="仿宋_GB2312" w:hint="eastAsia"/>
          <w:b/>
          <w:sz w:val="28"/>
          <w:szCs w:val="28"/>
        </w:rPr>
        <w:t>并购重组中的会计问题与财务报表合并处理技巧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并购会计方式选择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共同控制资产及共同控制经营的会计核算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同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一控制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下以及非同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一控制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下企业合并的处理原则对比和实务操作要点分析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公允价值计量属性对上市公司的影响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公允价值对上市公司财务报表的影响分析</w:t>
      </w:r>
    </w:p>
    <w:p w:rsidR="00C3615F" w:rsidRDefault="00C3615F" w:rsidP="00C3615F">
      <w:pPr>
        <w:tabs>
          <w:tab w:val="left" w:pos="1620"/>
          <w:tab w:val="left" w:pos="1800"/>
        </w:tabs>
        <w:spacing w:line="36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（四）</w:t>
      </w:r>
      <w:r>
        <w:rPr>
          <w:rFonts w:ascii="仿宋_GB2312" w:eastAsia="仿宋_GB2312" w:cs="仿宋_GB2312" w:hint="eastAsia"/>
          <w:b/>
          <w:sz w:val="28"/>
          <w:szCs w:val="28"/>
        </w:rPr>
        <w:t>股权激励实施与案例解析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股票期权的方案设计与实施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员工持股计划的方案设计与实施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虚拟股票的方案设计与实施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股票增值权的方案设计与实施</w:t>
      </w:r>
    </w:p>
    <w:p w:rsidR="00C3615F" w:rsidRDefault="00C3615F" w:rsidP="00C3615F">
      <w:pPr>
        <w:spacing w:line="480" w:lineRule="exact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C3615F" w:rsidRDefault="00C3615F" w:rsidP="00C3615F">
      <w:pPr>
        <w:spacing w:beforeLines="30" w:before="93" w:afterLines="30" w:after="93" w:line="400" w:lineRule="exact"/>
        <w:ind w:firstLineChars="147" w:firstLine="413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专题六：企业内部控制实施技巧与各环节风险管理专题培训班</w:t>
      </w:r>
    </w:p>
    <w:p w:rsidR="00C3615F" w:rsidRDefault="00C3615F" w:rsidP="00C3615F">
      <w:pPr>
        <w:tabs>
          <w:tab w:val="left" w:pos="1620"/>
          <w:tab w:val="left" w:pos="1800"/>
        </w:tabs>
        <w:spacing w:line="480" w:lineRule="exact"/>
        <w:ind w:firstLineChars="147" w:firstLine="413"/>
        <w:jc w:val="left"/>
        <w:rPr>
          <w:rFonts w:ascii="仿宋_GB2312" w:eastAsia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（一）企业内部控制规范与配套指引解析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内部控制规范体系框架与SOX法案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《企业内部控制基本规范》及其配套指引的重难点分析</w:t>
      </w:r>
    </w:p>
    <w:p w:rsidR="00C3615F" w:rsidRDefault="00C3615F" w:rsidP="00C3615F">
      <w:pPr>
        <w:tabs>
          <w:tab w:val="left" w:pos="1620"/>
          <w:tab w:val="left" w:pos="1800"/>
        </w:tabs>
        <w:spacing w:line="350" w:lineRule="exact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 （二）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企业的控制环境分析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内部控制环境存在的主要问题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内部控制的内部环境建设</w:t>
      </w:r>
    </w:p>
    <w:p w:rsidR="00C3615F" w:rsidRDefault="00C3615F" w:rsidP="00C3615F">
      <w:pPr>
        <w:spacing w:line="480" w:lineRule="exact"/>
        <w:ind w:leftChars="200" w:left="420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①内部环境及权责分配</w:t>
      </w:r>
    </w:p>
    <w:p w:rsidR="00C3615F" w:rsidRDefault="00C3615F" w:rsidP="00C3615F">
      <w:pPr>
        <w:spacing w:line="480" w:lineRule="exact"/>
        <w:ind w:leftChars="200" w:left="420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②内部环境及内部审计</w:t>
      </w:r>
    </w:p>
    <w:p w:rsidR="00C3615F" w:rsidRDefault="00C3615F" w:rsidP="00C3615F">
      <w:pPr>
        <w:spacing w:line="480" w:lineRule="exact"/>
        <w:ind w:leftChars="200" w:left="420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③内部环境及人力资源政策</w:t>
      </w:r>
    </w:p>
    <w:p w:rsidR="00C3615F" w:rsidRDefault="00C3615F" w:rsidP="00C3615F">
      <w:pPr>
        <w:spacing w:line="480" w:lineRule="exact"/>
        <w:ind w:leftChars="200" w:left="420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④内部环境及企业文化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现代企业内部控制环境的创新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内部控制的外部环境及财政金融环境详解</w:t>
      </w:r>
    </w:p>
    <w:p w:rsidR="00C3615F" w:rsidRDefault="00C3615F" w:rsidP="00C3615F">
      <w:pPr>
        <w:tabs>
          <w:tab w:val="left" w:pos="1620"/>
          <w:tab w:val="left" w:pos="1800"/>
        </w:tabs>
        <w:spacing w:line="480" w:lineRule="exact"/>
        <w:ind w:firstLineChars="147" w:firstLine="413"/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（三）企业风险管理框架与内控报告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股东对企业风险管理最关心的问题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内部控制的五段路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内部控制体系实施中突出问题的解决及趋势分析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企业内部控制核心目标及框架搭建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企业内部控制原则与规则的应用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企业内部控制报告的撰写技巧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内部控制的外部环境与财政金融环境</w:t>
      </w:r>
    </w:p>
    <w:p w:rsidR="00C3615F" w:rsidRDefault="00C3615F" w:rsidP="00C3615F">
      <w:pPr>
        <w:tabs>
          <w:tab w:val="left" w:pos="1620"/>
          <w:tab w:val="left" w:pos="1800"/>
        </w:tabs>
        <w:spacing w:line="480" w:lineRule="exact"/>
        <w:ind w:firstLineChars="147" w:firstLine="413"/>
        <w:jc w:val="left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（四）企业内控风险评估分析与管理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人均指标的评估及分析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人、财、物的消耗与管理费用的评估分析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有关产值、资产等指标的评估分析</w:t>
      </w:r>
    </w:p>
    <w:p w:rsidR="00C3615F" w:rsidRDefault="00C3615F" w:rsidP="00C3615F">
      <w:pPr>
        <w:numPr>
          <w:ilvl w:val="0"/>
          <w:numId w:val="1"/>
        </w:numPr>
        <w:spacing w:line="48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现金流、利润率等指标的评估分析</w:t>
      </w:r>
    </w:p>
    <w:p w:rsidR="00C3615F" w:rsidRDefault="00C3615F" w:rsidP="00C3615F">
      <w:pPr>
        <w:tabs>
          <w:tab w:val="left" w:pos="1620"/>
          <w:tab w:val="left" w:pos="1800"/>
        </w:tabs>
        <w:spacing w:line="440" w:lineRule="exact"/>
        <w:ind w:firstLineChars="147" w:firstLine="413"/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（五）企业的控制差距与不同类型企业的控制案例分析</w:t>
      </w:r>
    </w:p>
    <w:p w:rsidR="00C3615F" w:rsidRDefault="00C3615F" w:rsidP="00C3615F">
      <w:pPr>
        <w:tabs>
          <w:tab w:val="left" w:pos="1620"/>
          <w:tab w:val="left" w:pos="1800"/>
        </w:tabs>
        <w:spacing w:line="440" w:lineRule="exact"/>
        <w:ind w:firstLineChars="147" w:firstLine="413"/>
        <w:jc w:val="left"/>
        <w:rPr>
          <w:rFonts w:ascii="仿宋_GB2312" w:eastAsia="仿宋_GB2312" w:hAnsi="宋体" w:hint="eastAsia"/>
          <w:b/>
          <w:bCs/>
          <w:sz w:val="28"/>
          <w:szCs w:val="28"/>
        </w:rPr>
      </w:pPr>
    </w:p>
    <w:p w:rsidR="00C3615F" w:rsidRDefault="00C3615F" w:rsidP="00C3615F">
      <w:pPr>
        <w:spacing w:beforeLines="100" w:before="312" w:afterLines="50" w:after="156" w:line="360" w:lineRule="exact"/>
        <w:ind w:firstLineChars="200" w:firstLine="562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专题七：财务人员领导力提升与压力管理专题培训班</w:t>
      </w:r>
    </w:p>
    <w:p w:rsidR="00C3615F" w:rsidRDefault="00C3615F" w:rsidP="00C3615F">
      <w:pPr>
        <w:spacing w:line="35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（一）</w:t>
      </w:r>
      <w:r>
        <w:rPr>
          <w:rFonts w:ascii="仿宋_GB2312" w:eastAsia="仿宋_GB2312" w:hint="eastAsia"/>
          <w:b/>
          <w:sz w:val="28"/>
          <w:szCs w:val="28"/>
        </w:rPr>
        <w:t>财务管理者与财务控制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财务管理者必须掌握的基本管理知识框架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公司战略政策的准确把握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公司业务架构的深入了解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市场分析知识及能力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信息处理与分析能力</w:t>
      </w:r>
    </w:p>
    <w:p w:rsidR="00C3615F" w:rsidRDefault="00C3615F" w:rsidP="00C3615F">
      <w:pPr>
        <w:tabs>
          <w:tab w:val="left" w:pos="1620"/>
          <w:tab w:val="left" w:pos="1800"/>
        </w:tabs>
        <w:spacing w:line="360" w:lineRule="exact"/>
        <w:ind w:firstLineChars="200" w:firstLine="562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（二）</w:t>
      </w:r>
      <w:r>
        <w:rPr>
          <w:rFonts w:ascii="仿宋_GB2312" w:eastAsia="仿宋_GB2312" w:hint="eastAsia"/>
          <w:b/>
          <w:sz w:val="28"/>
          <w:szCs w:val="28"/>
        </w:rPr>
        <w:t>财务管理者的领导力提升技巧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领导权威的来源及素质特征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管理者的素养与人际关系分析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领导力的型态与领导方式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管理者自我认知及主要管理职能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如何提高员工的忠诚度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成功执行的关键和执行秘诀</w:t>
      </w:r>
    </w:p>
    <w:p w:rsidR="00C3615F" w:rsidRDefault="00C3615F" w:rsidP="00C3615F">
      <w:pPr>
        <w:tabs>
          <w:tab w:val="left" w:pos="1620"/>
          <w:tab w:val="left" w:pos="1800"/>
        </w:tabs>
        <w:spacing w:line="35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（三）</w:t>
      </w:r>
      <w:r>
        <w:rPr>
          <w:rFonts w:ascii="仿宋_GB2312" w:eastAsia="仿宋_GB2312" w:hint="eastAsia"/>
          <w:b/>
          <w:sz w:val="28"/>
          <w:szCs w:val="28"/>
        </w:rPr>
        <w:t>提升团队发展能力及动力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团队的组成和特点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团队发展的各个阶段及与之匹配的领导风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高绩效、有生气团队的主要特征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激励团队成员与授权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授权管理的误区及原则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团队间的关系处理及冲突的解决办法</w:t>
      </w:r>
    </w:p>
    <w:p w:rsidR="00C3615F" w:rsidRDefault="00C3615F" w:rsidP="00C3615F">
      <w:pPr>
        <w:tabs>
          <w:tab w:val="left" w:pos="1620"/>
          <w:tab w:val="left" w:pos="1800"/>
        </w:tabs>
        <w:spacing w:line="37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（四）</w:t>
      </w:r>
      <w:r>
        <w:rPr>
          <w:rFonts w:ascii="仿宋_GB2312" w:eastAsia="仿宋_GB2312"/>
          <w:b/>
          <w:sz w:val="28"/>
          <w:szCs w:val="28"/>
        </w:rPr>
        <w:t>舒解压力的技巧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压力辨析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探索压力源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应对压力的基本技巧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暂时性的应对方法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增强自身弹性管理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创建压力底线，维持心态平衡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创建自己的“拒绝”理由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自我管理训练</w:t>
      </w:r>
    </w:p>
    <w:p w:rsidR="00C3615F" w:rsidRDefault="00C3615F" w:rsidP="00C3615F">
      <w:pPr>
        <w:spacing w:line="460" w:lineRule="exact"/>
        <w:ind w:leftChars="200" w:left="420"/>
        <w:jc w:val="left"/>
        <w:rPr>
          <w:rFonts w:ascii="仿宋_GB2312" w:eastAsia="仿宋_GB2312" w:hint="eastAsia"/>
          <w:b/>
          <w:sz w:val="28"/>
          <w:szCs w:val="28"/>
        </w:rPr>
      </w:pPr>
    </w:p>
    <w:p w:rsidR="00C3615F" w:rsidRDefault="00C3615F" w:rsidP="00C3615F">
      <w:pPr>
        <w:spacing w:line="460" w:lineRule="exact"/>
        <w:ind w:leftChars="200" w:left="420"/>
        <w:jc w:val="lef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专题八：后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营改增时代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企业纳税技巧与税务稽查应对专题培训班</w:t>
      </w:r>
    </w:p>
    <w:p w:rsidR="00C3615F" w:rsidRDefault="00C3615F" w:rsidP="00C3615F">
      <w:pPr>
        <w:tabs>
          <w:tab w:val="left" w:pos="1620"/>
          <w:tab w:val="left" w:pos="1800"/>
        </w:tabs>
        <w:spacing w:line="460" w:lineRule="exact"/>
        <w:ind w:firstLineChars="147" w:firstLine="413"/>
        <w:jc w:val="left"/>
        <w:rPr>
          <w:rFonts w:ascii="仿宋_GB2312" w:eastAsia="仿宋_GB2312" w:hAnsi="仿宋_GB2312" w:cs="宋体" w:hint="eastAsia"/>
          <w:color w:val="000000"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（一）企业全面税收筹划的最新政策梳理与实践问题解析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从税制构成要素解析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营改增</w:t>
      </w:r>
      <w:proofErr w:type="gramEnd"/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“营改增”的经济影响分析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《关于全面推开营业税改征增值税试点的通知》解析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消费税及进出口税收新政策解析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资源税改革政策解析与纳税筹划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房地产调控中的相关税收政策调整解析与应用</w:t>
      </w:r>
    </w:p>
    <w:p w:rsidR="00C3615F" w:rsidRDefault="00C3615F" w:rsidP="00C3615F">
      <w:pPr>
        <w:widowControl/>
        <w:spacing w:line="420" w:lineRule="exact"/>
        <w:rPr>
          <w:rFonts w:ascii="仿宋_GB2312" w:eastAsia="仿宋_GB2312" w:hAnsi="仿宋_GB2312" w:cs="宋体" w:hint="eastAsia"/>
          <w:b/>
          <w:bCs/>
          <w:color w:val="000000"/>
          <w:kern w:val="0"/>
          <w:sz w:val="28"/>
          <w:szCs w:val="32"/>
        </w:rPr>
      </w:pPr>
      <w:r>
        <w:rPr>
          <w:rFonts w:ascii="仿宋_GB2312" w:eastAsia="仿宋_GB2312" w:hAnsi="仿宋_GB2312" w:cs="宋体" w:hint="eastAsia"/>
          <w:b/>
          <w:bCs/>
          <w:color w:val="000000"/>
          <w:kern w:val="0"/>
          <w:sz w:val="28"/>
          <w:szCs w:val="32"/>
        </w:rPr>
        <w:t xml:space="preserve">   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（二）</w:t>
      </w:r>
      <w:r>
        <w:rPr>
          <w:rFonts w:ascii="仿宋_GB2312" w:eastAsia="仿宋_GB2312" w:hAnsi="仿宋_GB2312" w:cs="宋体" w:hint="eastAsia"/>
          <w:b/>
          <w:bCs/>
          <w:color w:val="000000"/>
          <w:kern w:val="0"/>
          <w:sz w:val="28"/>
          <w:szCs w:val="32"/>
        </w:rPr>
        <w:t>企业税收风险管理与应对策略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财政扶持政策与合理运用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基于会计核算角度的控制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“以票控税”税收风险管控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抵扣不足难题化解思路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关注价税体系变化实现利益最大化</w:t>
      </w:r>
    </w:p>
    <w:p w:rsidR="00C3615F" w:rsidRDefault="00C3615F" w:rsidP="00C3615F">
      <w:pPr>
        <w:widowControl/>
        <w:spacing w:line="420" w:lineRule="exact"/>
        <w:rPr>
          <w:rFonts w:ascii="仿宋_GB2312" w:eastAsia="仿宋_GB2312" w:hAnsi="仿宋_GB2312" w:cs="宋体" w:hint="eastAsia"/>
          <w:b/>
          <w:bCs/>
          <w:color w:val="000000"/>
          <w:kern w:val="0"/>
          <w:sz w:val="28"/>
          <w:szCs w:val="32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 （三）“营改增”纳税申</w:t>
      </w:r>
      <w:r>
        <w:rPr>
          <w:rFonts w:ascii="仿宋_GB2312" w:eastAsia="仿宋_GB2312" w:hAnsi="仿宋_GB2312" w:cs="宋体" w:hint="eastAsia"/>
          <w:b/>
          <w:bCs/>
          <w:color w:val="000000"/>
          <w:kern w:val="0"/>
          <w:sz w:val="28"/>
          <w:szCs w:val="32"/>
        </w:rPr>
        <w:t>报与会计处理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关于印发《增值税会计处理规定》的通知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新增值税的会计科目设置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新增值税的会计账务处理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新增值税的会计报表相关项目列示</w:t>
      </w:r>
    </w:p>
    <w:p w:rsidR="00C3615F" w:rsidRDefault="00C3615F" w:rsidP="00C3615F">
      <w:pPr>
        <w:tabs>
          <w:tab w:val="left" w:pos="1620"/>
          <w:tab w:val="left" w:pos="1800"/>
        </w:tabs>
        <w:spacing w:line="460" w:lineRule="exact"/>
        <w:ind w:firstLineChars="147" w:firstLine="413"/>
        <w:jc w:val="lef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（四）税务机关监管方式调整的影响与税务稽查应对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税务机关软件系统破解账务真实性的工具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税务稽查摇号关联的核心数据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监管方式调整形成的企业税收风险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税务稽查的前期准备与风险防控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票据规范管理</w:t>
      </w:r>
    </w:p>
    <w:p w:rsidR="00C3615F" w:rsidRDefault="00C3615F" w:rsidP="00C3615F">
      <w:pPr>
        <w:tabs>
          <w:tab w:val="left" w:pos="1620"/>
          <w:tab w:val="left" w:pos="1800"/>
        </w:tabs>
        <w:spacing w:line="460" w:lineRule="exact"/>
        <w:ind w:firstLineChars="147" w:firstLine="413"/>
        <w:jc w:val="lef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（五）企业所得税汇算清缴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企业所得税汇算清缴最新政策解析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新企业所得税纳税申报表填列与解析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汇算清缴中的账务处理实务及纳税调整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享受减免税优惠的前期准备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关于扣除凭证的实效问题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对外投资抵免政策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跨地区经营纳税企业所得税政策</w:t>
      </w:r>
    </w:p>
    <w:p w:rsidR="00C3615F" w:rsidRDefault="00C3615F" w:rsidP="00C3615F">
      <w:pPr>
        <w:spacing w:line="460" w:lineRule="exact"/>
        <w:jc w:val="left"/>
        <w:rPr>
          <w:rFonts w:ascii="仿宋_GB2312" w:eastAsia="仿宋_GB2312" w:hint="eastAsia"/>
          <w:b/>
          <w:sz w:val="28"/>
          <w:szCs w:val="28"/>
        </w:rPr>
      </w:pPr>
    </w:p>
    <w:p w:rsidR="00C3615F" w:rsidRDefault="00C3615F" w:rsidP="00C3615F">
      <w:pPr>
        <w:spacing w:line="460" w:lineRule="exact"/>
        <w:ind w:leftChars="200" w:left="420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专题九：财务人员法律风险识别与处理技巧专题培训班</w:t>
      </w:r>
    </w:p>
    <w:p w:rsidR="00C3615F" w:rsidRDefault="00C3615F" w:rsidP="00C3615F">
      <w:pPr>
        <w:tabs>
          <w:tab w:val="left" w:pos="1620"/>
          <w:tab w:val="left" w:pos="1800"/>
        </w:tabs>
        <w:spacing w:line="350" w:lineRule="exact"/>
        <w:ind w:firstLineChars="200" w:firstLine="562"/>
        <w:jc w:val="lef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（一）财务人员的外部法律风险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法律的等级与自我保护原则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掌握重要的法律知识和保护措施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风险转移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法律服务</w:t>
      </w:r>
    </w:p>
    <w:p w:rsidR="00C3615F" w:rsidRDefault="00C3615F" w:rsidP="00C3615F">
      <w:pPr>
        <w:tabs>
          <w:tab w:val="left" w:pos="1620"/>
          <w:tab w:val="left" w:pos="1800"/>
        </w:tabs>
        <w:spacing w:line="35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 （二）职责风险（会计法等）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主要法律法规梳理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吊销会计从业资格证情形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重大会计差错的认定与处罚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回扣、折扣、佣金的风险防范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小金库风险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发票真伪的风险防范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发票填写规范性审核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外部审计和政府部门审查的谨慎应对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会计信息欺诈的认定</w:t>
      </w:r>
    </w:p>
    <w:p w:rsidR="00C3615F" w:rsidRDefault="00C3615F" w:rsidP="00C3615F">
      <w:pPr>
        <w:spacing w:line="460" w:lineRule="exact"/>
        <w:ind w:leftChars="200" w:left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（三）</w:t>
      </w:r>
      <w:r>
        <w:rPr>
          <w:rFonts w:ascii="仿宋_GB2312" w:eastAsia="仿宋_GB2312" w:hint="eastAsia"/>
          <w:b/>
          <w:sz w:val="28"/>
          <w:szCs w:val="28"/>
        </w:rPr>
        <w:t>合同风险（合同法）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企业违约分析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购销合同法律风险防范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合同签订时的法律风险防范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签署合同时应注意的条款审查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合同履行过程中的风险防范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合同欺诈的手段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合同陷阱的识别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公司应收账款管理和催收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合同履行中违约情况的及时处理</w:t>
      </w:r>
    </w:p>
    <w:p w:rsidR="00C3615F" w:rsidRDefault="00C3615F" w:rsidP="00C3615F">
      <w:pPr>
        <w:tabs>
          <w:tab w:val="left" w:pos="1620"/>
          <w:tab w:val="left" w:pos="1800"/>
        </w:tabs>
        <w:spacing w:line="35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（四）</w:t>
      </w:r>
      <w:r>
        <w:rPr>
          <w:rFonts w:ascii="仿宋_GB2312" w:eastAsia="仿宋_GB2312" w:hint="eastAsia"/>
          <w:b/>
          <w:sz w:val="28"/>
          <w:szCs w:val="28"/>
        </w:rPr>
        <w:t>职务犯罪（刑法）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原因分析</w:t>
      </w:r>
    </w:p>
    <w:p w:rsidR="00C3615F" w:rsidRDefault="00C3615F" w:rsidP="00C3615F">
      <w:pPr>
        <w:numPr>
          <w:ilvl w:val="0"/>
          <w:numId w:val="1"/>
        </w:numPr>
        <w:spacing w:line="460" w:lineRule="exact"/>
        <w:ind w:leftChars="200" w:firstLine="397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财务人员的职责风险</w:t>
      </w:r>
    </w:p>
    <w:p w:rsidR="00C3615F" w:rsidRDefault="00C3615F" w:rsidP="00C3615F">
      <w:pPr>
        <w:spacing w:line="460" w:lineRule="exact"/>
        <w:ind w:leftChars="200" w:left="420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（挪用公款罪、受贿罪、行贿罪、巨额财产来源不明罪、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持有假币罪、洗钱罪、妨碍信用卡管理罪、金融诈骗罪、非法吸收公共存款罪、危害税收征管罪、逃避缴纳税款罪、隐匿或故意销毁会计凭证等、内幕交易与泄露内幕信息罪、提供虚假财务报告罪等与相关案例分析）</w:t>
      </w:r>
    </w:p>
    <w:p w:rsidR="00ED1531" w:rsidRPr="00C3615F" w:rsidRDefault="00ED1531"/>
    <w:sectPr w:rsidR="00ED1531" w:rsidRPr="00C36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7A9"/>
    <w:multiLevelType w:val="multilevel"/>
    <w:tmpl w:val="07CF37A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5F"/>
    <w:rsid w:val="00145B32"/>
    <w:rsid w:val="00C3615F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F5E5"/>
  <w15:chartTrackingRefBased/>
  <w15:docId w15:val="{73D65AA0-F860-47AB-B7EA-42F309CA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15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2017-06-21T06:50:00Z</dcterms:created>
  <dcterms:modified xsi:type="dcterms:W3CDTF">2017-06-21T06:51:00Z</dcterms:modified>
</cp:coreProperties>
</file>