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66" w:rsidRDefault="006D0166" w:rsidP="006D0166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6D0166" w:rsidRDefault="006D0166" w:rsidP="006D0166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</w:pPr>
      <w:r w:rsidRPr="0063343B"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新金融工具相关会计准则</w:t>
      </w:r>
    </w:p>
    <w:p w:rsidR="006D0166" w:rsidRDefault="006D0166" w:rsidP="006D0166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</w:pPr>
      <w:r w:rsidRPr="0063343B">
        <w:rPr>
          <w:rFonts w:ascii="宋体" w:hAnsi="宋体" w:cs="宋体" w:hint="eastAsia"/>
          <w:b/>
          <w:bCs/>
          <w:color w:val="000000"/>
          <w:spacing w:val="-20"/>
          <w:sz w:val="36"/>
          <w:szCs w:val="36"/>
        </w:rPr>
        <w:t>暨2017保险公司全要素会计核算政策、案例与技巧培训班</w:t>
      </w:r>
      <w:r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工   作   方   案</w:t>
      </w:r>
    </w:p>
    <w:p w:rsidR="006D0166" w:rsidRPr="005F624B" w:rsidRDefault="006D0166" w:rsidP="006D0166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6D0166" w:rsidRDefault="006D0166" w:rsidP="006D0166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6D0166" w:rsidRDefault="006D0166" w:rsidP="006D0166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6D0166" w:rsidRDefault="006D0166" w:rsidP="006D0166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6D0166" w:rsidRPr="006976ED" w:rsidRDefault="006D0166" w:rsidP="006D0166">
      <w:pPr>
        <w:spacing w:line="58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6D0166" w:rsidRPr="00F44A62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F44A6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上海班：2017年8月17日至20日（17日全天报到）</w:t>
      </w:r>
    </w:p>
    <w:p w:rsidR="006D0166" w:rsidRPr="00F44A62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F44A6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北京班：2017年10月19日至22日（19日全天报到）</w:t>
      </w:r>
    </w:p>
    <w:p w:rsidR="006D0166" w:rsidRPr="00F44A62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F44A6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杭州班：2017年11月16日至19日（16日全天报到）</w:t>
      </w:r>
    </w:p>
    <w:p w:rsidR="006D0166" w:rsidRPr="002B6EE7" w:rsidRDefault="006D0166" w:rsidP="006D0166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2B6EE7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二、主要培训内容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/>
          <w:b/>
          <w:bCs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/>
          <w:b/>
          <w:bCs/>
          <w:sz w:val="30"/>
          <w:szCs w:val="30"/>
        </w:rPr>
        <w:t>：</w:t>
      </w:r>
      <w:r w:rsidRPr="005F624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新金融工具相关会计准则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培训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《</w:t>
      </w:r>
      <w:r w:rsidRPr="00581DAB">
        <w:rPr>
          <w:rFonts w:ascii="仿宋_GB2312" w:eastAsia="仿宋_GB2312" w:hAnsi="仿宋_GB2312" w:cs="仿宋_GB2312" w:hint="eastAsia"/>
          <w:bCs/>
          <w:sz w:val="30"/>
          <w:szCs w:val="30"/>
        </w:rPr>
        <w:t>金融工具确认和计量》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81DAB">
        <w:rPr>
          <w:rFonts w:ascii="仿宋_GB2312" w:eastAsia="仿宋_GB2312" w:hAnsi="仿宋_GB2312" w:cs="仿宋_GB2312" w:hint="eastAsia"/>
          <w:bCs/>
          <w:sz w:val="30"/>
          <w:szCs w:val="30"/>
        </w:rPr>
        <w:t>《金融资产转移》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81DAB">
        <w:rPr>
          <w:rFonts w:ascii="仿宋_GB2312" w:eastAsia="仿宋_GB2312" w:hAnsi="仿宋_GB2312" w:cs="仿宋_GB2312" w:hint="eastAsia"/>
          <w:bCs/>
          <w:sz w:val="30"/>
          <w:szCs w:val="30"/>
        </w:rPr>
        <w:t>《套期会计》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>
        <w:rPr>
          <w:rFonts w:ascii="仿宋_GB2312" w:eastAsia="仿宋_GB2312" w:hAnsi="仿宋" w:hint="eastAsia"/>
          <w:sz w:val="30"/>
          <w:szCs w:val="30"/>
        </w:rPr>
        <w:t>《金融工具列报》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新会计准则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实施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对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保险公司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的影响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（盈利管理、投资策略、资产负债管理、模型管理、绩效评价、内部控制、财务报告）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保险公司</w:t>
      </w:r>
      <w:r>
        <w:rPr>
          <w:rFonts w:ascii="仿宋_GB2312" w:eastAsia="仿宋_GB2312" w:hAnsi="仿宋_GB2312" w:cs="仿宋_GB2312"/>
          <w:bCs/>
          <w:sz w:val="30"/>
          <w:szCs w:val="30"/>
        </w:rPr>
        <w:t>应用新会计准则</w:t>
      </w:r>
    </w:p>
    <w:p w:rsidR="006D0166" w:rsidRPr="002B6EE7" w:rsidRDefault="006D0166" w:rsidP="006D0166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2B6EE7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模块二：保险公司全要素会计核算政策、案例与技巧</w:t>
      </w:r>
    </w:p>
    <w:p w:rsidR="006D0166" w:rsidRPr="00E35C60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592D78">
        <w:rPr>
          <w:rFonts w:ascii="MS Gothic" w:hAnsi="MS Gothic" w:cs="MS Gothic" w:hint="eastAsia"/>
          <w:sz w:val="30"/>
          <w:szCs w:val="30"/>
        </w:rPr>
        <w:t xml:space="preserve"> 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保险公司资产核算最新政策梳理与案例（金融资产投资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长期股权投资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套期保值业务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衍生金融工具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、其他金融资产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6D0166" w:rsidRPr="00E35C60" w:rsidRDefault="006D0166" w:rsidP="006D0166">
      <w:pPr>
        <w:spacing w:line="58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lastRenderedPageBreak/>
        <w:t>▪</w:t>
      </w:r>
      <w:r w:rsidRPr="00407583">
        <w:rPr>
          <w:rFonts w:ascii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保险公司负债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核算最新政策梳理与案例（金融负债、其他金融负债）</w:t>
      </w:r>
    </w:p>
    <w:p w:rsidR="006D0166" w:rsidRPr="00E35C60" w:rsidRDefault="006D0166" w:rsidP="006D0166">
      <w:pPr>
        <w:spacing w:line="58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407583">
        <w:rPr>
          <w:rFonts w:ascii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保险公司损益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核算最新政策梳理与案例</w:t>
      </w:r>
    </w:p>
    <w:p w:rsidR="006D0166" w:rsidRPr="00E35C60" w:rsidRDefault="006D0166" w:rsidP="006D0166">
      <w:pPr>
        <w:spacing w:line="58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Gothic" w:eastAsia="MS Gothic" w:hAnsi="MS Gothic" w:cs="MS Gothic" w:hint="eastAsia"/>
          <w:sz w:val="30"/>
          <w:szCs w:val="30"/>
        </w:rPr>
        <w:t>▪</w:t>
      </w:r>
      <w:r w:rsidRPr="00407583">
        <w:rPr>
          <w:rFonts w:ascii="MS Gothic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保险公司所有者权益</w:t>
      </w:r>
      <w:r w:rsidRPr="00E35C60">
        <w:rPr>
          <w:rFonts w:ascii="仿宋_GB2312" w:eastAsia="仿宋_GB2312" w:hAnsi="宋体" w:cs="宋体" w:hint="eastAsia"/>
          <w:color w:val="000000"/>
          <w:sz w:val="30"/>
          <w:szCs w:val="30"/>
        </w:rPr>
        <w:t>核算最新政策梳理与案例</w:t>
      </w:r>
    </w:p>
    <w:p w:rsidR="006D0166" w:rsidRPr="002B6EE7" w:rsidRDefault="006D0166" w:rsidP="006D0166">
      <w:pPr>
        <w:adjustRightInd w:val="0"/>
        <w:snapToGrid w:val="0"/>
        <w:spacing w:line="580" w:lineRule="exact"/>
        <w:ind w:firstLineChars="200" w:firstLine="602"/>
        <w:jc w:val="both"/>
        <w:rPr>
          <w:rFonts w:ascii="仿宋_GB2312" w:eastAsia="仿宋_GB2312" w:hAnsi="宋体" w:cs="宋体" w:hint="eastAsia"/>
          <w:b/>
          <w:color w:val="000000"/>
          <w:sz w:val="30"/>
          <w:szCs w:val="30"/>
        </w:rPr>
      </w:pPr>
      <w:r w:rsidRPr="002B6EE7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模块三：保险公司财务会计热点问题探讨</w:t>
      </w:r>
      <w:r w:rsidRPr="002B6EE7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 xml:space="preserve"> </w:t>
      </w:r>
    </w:p>
    <w:p w:rsidR="006D0166" w:rsidRPr="00742AF3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F64727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保险公司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分支机构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财务绩效评价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</w:t>
      </w:r>
      <w:r w:rsidRPr="00742AF3">
        <w:rPr>
          <w:rFonts w:ascii="仿宋_GB2312" w:eastAsia="仿宋_GB2312" w:hAnsi="宋体" w:cs="宋体" w:hint="eastAsia"/>
          <w:color w:val="000000"/>
          <w:sz w:val="30"/>
          <w:szCs w:val="30"/>
        </w:rPr>
        <w:t>评价办法及指标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742AF3">
        <w:rPr>
          <w:rFonts w:ascii="仿宋_GB2312" w:eastAsia="仿宋_GB2312" w:hAnsi="宋体" w:cs="宋体" w:hint="eastAsia"/>
          <w:color w:val="000000"/>
          <w:sz w:val="30"/>
          <w:szCs w:val="30"/>
        </w:rPr>
        <w:t>资源优化配置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742AF3">
        <w:rPr>
          <w:rFonts w:ascii="仿宋_GB2312" w:eastAsia="仿宋_GB2312" w:hAnsi="宋体" w:cs="宋体" w:hint="eastAsia"/>
          <w:color w:val="000000"/>
          <w:sz w:val="30"/>
          <w:szCs w:val="30"/>
        </w:rPr>
        <w:t>动态监控与调整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742AF3">
        <w:rPr>
          <w:rFonts w:ascii="仿宋_GB2312" w:eastAsia="仿宋_GB2312" w:hAnsi="宋体" w:cs="宋体" w:hint="eastAsia"/>
          <w:color w:val="000000"/>
          <w:sz w:val="30"/>
          <w:szCs w:val="30"/>
        </w:rPr>
        <w:t>评价与考核兑现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F64727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保险集团公司财务绩效评价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（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财产保险板块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人身保险板块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投资板块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2B6EE7">
        <w:rPr>
          <w:rFonts w:ascii="仿宋_GB2312" w:eastAsia="仿宋_GB2312" w:hAnsi="宋体" w:cs="宋体" w:hint="eastAsia"/>
          <w:color w:val="000000"/>
          <w:sz w:val="30"/>
          <w:szCs w:val="30"/>
        </w:rPr>
        <w:t>新兴及其他板块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6D0166" w:rsidRPr="00742AF3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F64727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保险财务共享建设（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各业务单元之间差异带来的困难及挑战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业务流程优化面临的困难及挑战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信息系统改造面临的困难及挑战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财务人员转型面临的困难及挑战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6D0166" w:rsidRPr="00A15561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F64727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保险公司税收政策难点及操作（视同销售、增值税进项税抵扣、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营销员佣金涉税处理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增值税科目设置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贷款服务纳税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、</w:t>
      </w:r>
      <w:r w:rsidRPr="00A15561">
        <w:rPr>
          <w:rFonts w:ascii="仿宋_GB2312" w:eastAsia="仿宋_GB2312" w:hAnsi="宋体" w:cs="宋体" w:hint="eastAsia"/>
          <w:color w:val="000000"/>
          <w:sz w:val="30"/>
          <w:szCs w:val="30"/>
        </w:rPr>
        <w:t>）特殊保险业务涉税处理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）</w:t>
      </w:r>
    </w:p>
    <w:p w:rsidR="006D0166" w:rsidRDefault="006D0166" w:rsidP="006D0166">
      <w:pPr>
        <w:adjustRightInd w:val="0"/>
        <w:snapToGrid w:val="0"/>
        <w:spacing w:line="58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保险公司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会计队伍建设、会计人员培养及会计文化</w:t>
      </w:r>
    </w:p>
    <w:p w:rsidR="006D0166" w:rsidRPr="00012C60" w:rsidRDefault="006D0166" w:rsidP="006D0166">
      <w:pPr>
        <w:spacing w:line="580" w:lineRule="exact"/>
        <w:ind w:firstLineChars="200" w:firstLine="602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012C60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模块四：从业经验交流</w:t>
      </w:r>
    </w:p>
    <w:p w:rsidR="006D0166" w:rsidRPr="006976ED" w:rsidRDefault="006D0166" w:rsidP="006D0166">
      <w:pPr>
        <w:spacing w:line="58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专家及与会代表现场点评</w:t>
      </w:r>
    </w:p>
    <w:p w:rsidR="006D0166" w:rsidRPr="006976ED" w:rsidRDefault="006D0166" w:rsidP="006D0166">
      <w:pPr>
        <w:spacing w:line="58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三、参会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对象</w:t>
      </w:r>
    </w:p>
    <w:p w:rsidR="006D0166" w:rsidRPr="006976ED" w:rsidRDefault="006D0166" w:rsidP="006D0166">
      <w:pPr>
        <w:spacing w:line="58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1、各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保险公司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及其分支机构高级管理人员和业务骨干；</w:t>
      </w:r>
    </w:p>
    <w:p w:rsidR="006D0166" w:rsidRPr="006976ED" w:rsidRDefault="006D0166" w:rsidP="006D0166">
      <w:pPr>
        <w:spacing w:line="58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2、监管机构和行业组织相关业务负责人。</w:t>
      </w:r>
    </w:p>
    <w:p w:rsidR="006D0166" w:rsidRPr="006976ED" w:rsidRDefault="006D0166" w:rsidP="006D0166">
      <w:pPr>
        <w:spacing w:line="58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、培训证书</w:t>
      </w:r>
    </w:p>
    <w:p w:rsidR="006D0166" w:rsidRPr="006976ED" w:rsidRDefault="006D0166" w:rsidP="006D0166">
      <w:pPr>
        <w:spacing w:line="580" w:lineRule="exact"/>
        <w:ind w:leftChars="298" w:left="596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7C736A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培训班学习期满，颁发中国总会计师协会《培训结业证书》。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、报名程序</w:t>
      </w:r>
    </w:p>
    <w:p w:rsidR="006D0166" w:rsidRPr="006976ED" w:rsidRDefault="006D0166" w:rsidP="006D0166">
      <w:pPr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 xml:space="preserve">    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、培训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班相关信息和报名表格请见中国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 w:rsidRPr="006976ED"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2、请各单位组织报名，填写回执，加盖公章，务必于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班开始前一周传真至会务组。</w:t>
      </w:r>
    </w:p>
    <w:p w:rsidR="006D0166" w:rsidRPr="006976ED" w:rsidRDefault="006D0166" w:rsidP="006D0166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、收费标准</w:t>
      </w:r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sz w:val="30"/>
          <w:szCs w:val="30"/>
        </w:rPr>
        <w:t>班收费标准2600元/人；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往返交通及费用由参会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单位或个人自行办理。报名人员可在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班开始前一周将费用汇至委托承办单位账户，并将银行汇款凭证传真至会务组，以便开具增值税专用发票；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班不接受现场缴费。</w:t>
      </w:r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户    名：北京行胜思教育科技有限公司</w:t>
      </w:r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开户银行：工商银行北京幸福街支行</w:t>
      </w:r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账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号：0200 2450 0920 0075 772</w:t>
      </w:r>
    </w:p>
    <w:p w:rsidR="006D0166" w:rsidRPr="006976ED" w:rsidRDefault="006D0166" w:rsidP="006D0166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七</w:t>
      </w: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、会务组联系方式</w:t>
      </w:r>
    </w:p>
    <w:p w:rsidR="006D0166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</w:t>
      </w:r>
      <w:r w:rsidRPr="00300B1F">
        <w:rPr>
          <w:rFonts w:ascii="仿宋_GB2312" w:eastAsia="仿宋_GB2312" w:hAnsi="仿宋_GB2312" w:cs="仿宋_GB2312"/>
          <w:color w:val="000000"/>
          <w:sz w:val="30"/>
          <w:szCs w:val="30"/>
        </w:rPr>
        <w:t>51179038   51179139</w:t>
      </w:r>
    </w:p>
    <w:p w:rsidR="006D0166" w:rsidRPr="006976ED" w:rsidRDefault="006D0166" w:rsidP="006D0166">
      <w:pPr>
        <w:spacing w:line="560" w:lineRule="exact"/>
        <w:ind w:firstLineChars="700" w:firstLine="21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88191832（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</w:t>
      </w:r>
      <w:r w:rsidRPr="00D72646">
        <w:rPr>
          <w:rFonts w:ascii="仿宋_GB2312" w:eastAsia="仿宋_GB2312" w:hAnsi="仿宋_GB2312" w:cs="仿宋_GB2312"/>
          <w:color w:val="000000"/>
          <w:sz w:val="30"/>
          <w:szCs w:val="30"/>
        </w:rPr>
        <w:t>51179096   51179098</w:t>
      </w:r>
    </w:p>
    <w:p w:rsidR="006D0166" w:rsidRPr="007E6AE5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人：</w:t>
      </w:r>
      <w:r w:rsidRPr="0014755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董杰  </w:t>
      </w:r>
      <w:proofErr w:type="gramStart"/>
      <w:r w:rsidRPr="0014755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李烁硕</w:t>
      </w:r>
      <w:proofErr w:type="gramEnd"/>
      <w:r w:rsidRPr="0014755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李梦迪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6D0166" w:rsidRPr="006976ED" w:rsidRDefault="006D0166" w:rsidP="006D0166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邮箱：</w:t>
      </w:r>
      <w:r w:rsidRPr="00D72646">
        <w:rPr>
          <w:rFonts w:ascii="仿宋_GB2312" w:eastAsia="仿宋_GB2312" w:hAnsi="仿宋_GB2312" w:cs="仿宋_GB2312"/>
          <w:color w:val="000000"/>
          <w:sz w:val="30"/>
          <w:szCs w:val="30"/>
        </w:rPr>
        <w:t>123871482@qq.com</w:t>
      </w: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66"/>
    <w:rsid w:val="00145B32"/>
    <w:rsid w:val="006D0166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92D40-29BE-4757-81E3-EA1F577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16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2017-06-21T06:42:00Z</dcterms:created>
  <dcterms:modified xsi:type="dcterms:W3CDTF">2017-06-21T06:43:00Z</dcterms:modified>
</cp:coreProperties>
</file>